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CF0DF1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14.9pt;margin-top:12.2pt;width:452.05pt;height:48.75pt;z-index:251672576;v-text-anchor:middle" fillcolor="#8db3e2 [1311]" stroked="f">
            <v:textbox style="mso-next-textbox:#_x0000_s1049">
              <w:txbxContent>
                <w:p w:rsidR="00EF7F91" w:rsidRPr="00EF7F91" w:rsidRDefault="0063197A" w:rsidP="00EF7F9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АБІТУРІЄНТ СЬОГОДНІ – СТУДЕНТ ЗАВТРА</w:t>
                  </w:r>
                  <w:r w:rsidR="00EF7F91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63197A" w:rsidP="0063197A">
                  <w:pPr>
                    <w:jc w:val="right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січень-лютий</w:t>
                  </w:r>
                  <w:r w:rsidR="00BA3177">
                    <w:rPr>
                      <w:i/>
                      <w:lang w:val="uk-UA"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C56593" w:rsidRDefault="00C56593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DE516A" w:rsidRDefault="00DE516A" w:rsidP="00DE516A">
      <w:pPr>
        <w:rPr>
          <w:lang w:val="uk-UA"/>
        </w:rPr>
      </w:pPr>
    </w:p>
    <w:p w:rsidR="000E6741" w:rsidRPr="00DE516A" w:rsidRDefault="005C79F0" w:rsidP="00DE516A">
      <w:pPr>
        <w:tabs>
          <w:tab w:val="left" w:pos="397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-151213</wp:posOffset>
            </wp:positionH>
            <wp:positionV relativeFrom="paragraph">
              <wp:posOffset>7382989</wp:posOffset>
            </wp:positionV>
            <wp:extent cx="2180685" cy="1518249"/>
            <wp:effectExtent l="19050" t="0" r="0" b="0"/>
            <wp:wrapNone/>
            <wp:docPr id="1" name="Рисунок 1" descr="C:\Documents and Settings\Admin\Рабочий стол\UniSept17\студгазета сентябрь17\1 - 2018\photo\expo\23795704_1464039573702911_5240995339620145395_n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expo\23795704_1464039573702911_5240995339620145395_n-768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28" t="17814" r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85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5" type="#_x0000_t202" style="position:absolute;margin-left:159.1pt;margin-top:575.2pt;width:392.65pt;height:121.6pt;z-index:251678720;mso-position-horizontal-relative:text;mso-position-vertical-relative:text" filled="f" stroked="f">
            <v:textbox>
              <w:txbxContent>
                <w:p w:rsidR="005C79F0" w:rsidRPr="005C79F0" w:rsidRDefault="005C79F0" w:rsidP="005C79F0">
                  <w:pPr>
                    <w:pStyle w:val="a6"/>
                    <w:jc w:val="both"/>
                    <w:rPr>
                      <w:rStyle w:val="textexposedshow"/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  <w:proofErr w:type="spellStart"/>
                  <w:proofErr w:type="gram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</w:t>
                  </w:r>
                  <w:proofErr w:type="gram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ісля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офіційної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частини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глядачів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чекав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екскурс-ознайомлення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із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роботами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сучасних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українських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художників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німецького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походження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який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провели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студенти-представники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кафедри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німецької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мови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Каліушка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Маргарита,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Дяченко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Олександр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Кучма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Аліна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Невестюк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Олена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</w:t>
                  </w:r>
                  <w:proofErr w:type="gram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ід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керівництвом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Кирилюк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Світлани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Василівни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5C79F0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Атмосферу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доповнила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жива</w:t>
                  </w:r>
                  <w:proofErr w:type="gram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музика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виконанні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студентів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музичного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відділу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університету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ім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. В.О.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Сухомлинського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Адже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все ж таки,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таємниця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мистецтва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полягає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</w:t>
                  </w:r>
                  <w:proofErr w:type="gram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тому,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щоб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вслухатися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невимовне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милуватися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невидимим</w:t>
                  </w:r>
                  <w:proofErr w:type="spellEnd"/>
                  <w:r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5C79F0" w:rsidRPr="005C79F0" w:rsidRDefault="005C79F0" w:rsidP="005C79F0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67.9pt;margin-top:425.1pt;width:287.35pt;height:34.6pt;z-index:251679744;mso-position-horizontal-relative:text;mso-position-vertical-relative:text" filled="f" stroked="f">
            <v:textbox>
              <w:txbxContent>
                <w:p w:rsidR="005C79F0" w:rsidRPr="005C79F0" w:rsidRDefault="005C79F0" w:rsidP="005C79F0">
                  <w:pPr>
                    <w:pStyle w:val="a6"/>
                    <w:jc w:val="right"/>
                    <w:rPr>
                      <w:rStyle w:val="textexposedshow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«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Тві</w:t>
                  </w:r>
                  <w:proofErr w:type="gram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мистецтва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це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куточок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всесвіту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побачений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крізь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призму 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певного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темпераменту» </w:t>
                  </w:r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  <w:lang w:val="uk-UA"/>
                    </w:rPr>
                    <w:t>(</w:t>
                  </w:r>
                  <w:proofErr w:type="spellStart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>Еміль</w:t>
                  </w:r>
                  <w:proofErr w:type="spellEnd"/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</w:rPr>
                    <w:t xml:space="preserve"> Зол</w:t>
                  </w:r>
                  <w:r w:rsidRPr="005C79F0">
                    <w:rPr>
                      <w:rStyle w:val="textexposedshow"/>
                      <w:b/>
                      <w:i/>
                      <w:sz w:val="22"/>
                      <w:szCs w:val="22"/>
                      <w:lang w:val="uk-UA"/>
                    </w:rPr>
                    <w:t>я)</w:t>
                  </w:r>
                </w:p>
                <w:p w:rsidR="005C79F0" w:rsidRDefault="005C79F0"/>
              </w:txbxContent>
            </v:textbox>
          </v:shape>
        </w:pict>
      </w:r>
      <w:r w:rsidR="00720241">
        <w:rPr>
          <w:noProof/>
          <w:lang w:eastAsia="ru-RU"/>
        </w:rPr>
        <w:pict>
          <v:shape id="_x0000_s1054" type="#_x0000_t202" style="position:absolute;margin-left:-19.35pt;margin-top:425.1pt;width:575.7pt;height:278.5pt;z-index:251676672;mso-position-horizontal-relative:text;mso-position-vertical-relative:text;mso-width-relative:margin;mso-height-relative:margin" fillcolor="#dbe5f1 [660]" stroked="f">
            <v:textbox>
              <w:txbxContent>
                <w:p w:rsidR="005C79F0" w:rsidRDefault="005C79F0" w:rsidP="00F93ED5">
                  <w:pPr>
                    <w:pStyle w:val="a6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F93ED5" w:rsidRPr="00F93ED5" w:rsidRDefault="00F93ED5" w:rsidP="00F93ED5">
                  <w:pPr>
                    <w:pStyle w:val="a6"/>
                    <w:jc w:val="both"/>
                    <w:rPr>
                      <w:rStyle w:val="textexposedshow"/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  <w:r w:rsidRPr="00F93ED5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У </w:t>
                  </w:r>
                  <w:proofErr w:type="spellStart"/>
                  <w:r w:rsidRPr="00F93ED5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>нанотехнологічному</w:t>
                  </w:r>
                  <w:proofErr w:type="spellEnd"/>
                  <w:r w:rsidRPr="00F93ED5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 світі, де життя вирує бурхливими потоками, дуже важливо час від часу зупинятися, щоб відчути себе живою людиною, сповненою краси і жаги до великого. Саме тому </w:t>
                  </w:r>
                  <w:r w:rsidR="005C79F0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22 листопада 2017 року </w:t>
                  </w:r>
                  <w:r w:rsidRPr="00F93ED5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на базі факультету іноземної філології МНУ імені В.О. Сухомлинського кафедра німецької мови та літератури у співпраці із Миколаївським обласним центром німецької культури провели захід, присвячений десятиріччю сумісної праці. </w:t>
                  </w:r>
                  <w:r w:rsidRPr="005C79F0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br/>
                  </w:r>
                  <w:r w:rsid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  <w:lang w:val="uk-UA"/>
                    </w:rPr>
                    <w:t>С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туденти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поринули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неперевершений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світ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мисте</w:t>
                  </w:r>
                  <w:r w:rsid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цтва</w:t>
                  </w:r>
                  <w:proofErr w:type="spellEnd"/>
                  <w:r w:rsid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Саме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тому до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уваги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студентів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була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представлена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виставка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картин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етнічних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німці</w:t>
                  </w:r>
                  <w:proofErr w:type="gram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презентація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міжнародних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молодіжних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програм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. Честь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розпочати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захід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випала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представнику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Миколаївського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Центру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Німецької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Культури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Цегельному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Дмитру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Анатолійовичу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. Не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обійшлося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й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без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підтримки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представника</w:t>
                  </w:r>
                  <w:proofErr w:type="spellEnd"/>
                  <w:proofErr w:type="gram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Р</w:t>
                  </w:r>
                  <w:proofErr w:type="gram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ади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німців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України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від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Миколаївської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області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Гнат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Тетяни</w:t>
                  </w:r>
                  <w:proofErr w:type="spellEnd"/>
                  <w:r w:rsidRPr="00F93ED5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яка, уже не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вперше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довела,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що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представники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Миколаївщини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не просто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талановиті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, а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ще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й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варті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того,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аби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 xml:space="preserve"> про них </w:t>
                  </w:r>
                  <w:proofErr w:type="spellStart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почули</w:t>
                  </w:r>
                  <w:proofErr w:type="spellEnd"/>
                  <w:r w:rsidR="005C79F0" w:rsidRPr="005C79F0">
                    <w:rPr>
                      <w:rStyle w:val="textexposedshow"/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720241" w:rsidRPr="007F17B5" w:rsidRDefault="00720241" w:rsidP="00720241">
                  <w:pPr>
                    <w:spacing w:after="120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720241">
        <w:rPr>
          <w:noProof/>
          <w:lang w:eastAsia="ru-RU"/>
        </w:rPr>
        <w:pict>
          <v:rect id="_x0000_s1053" style="position:absolute;margin-left:115pt;margin-top:370.25pt;width:452.05pt;height:48.75pt;z-index:251675648;mso-position-horizontal-relative:text;mso-position-vertical-relative:text;v-text-anchor:middle" fillcolor="#8db3e2 [1311]" stroked="f">
            <v:textbox style="mso-next-textbox:#_x0000_s1053">
              <w:txbxContent>
                <w:p w:rsidR="00720241" w:rsidRPr="00EF7F91" w:rsidRDefault="00720241" w:rsidP="0072024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«КУТОЧОК ВСЕСВІТУ»</w:t>
                  </w:r>
                </w:p>
              </w:txbxContent>
            </v:textbox>
          </v:rect>
        </w:pict>
      </w:r>
      <w:r w:rsidR="00BD0538">
        <w:rPr>
          <w:noProof/>
        </w:rPr>
        <w:pict>
          <v:shape id="_x0000_s1046" type="#_x0000_t202" style="position:absolute;margin-left:-19.8pt;margin-top:1.15pt;width:575.7pt;height:359.45pt;z-index:251667456;mso-position-horizontal-relative:text;mso-position-vertical-relative:text;mso-width-relative:margin;mso-height-relative:margin" fillcolor="#dbe5f1 [660]" stroked="f">
            <v:textbox>
              <w:txbxContent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63197A" w:rsidRP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</w:p>
                <w:p w:rsidR="007F17B5" w:rsidRPr="0063197A" w:rsidRDefault="00BD0538" w:rsidP="0063197A">
                  <w:pPr>
                    <w:spacing w:after="0" w:line="240" w:lineRule="auto"/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>
                    <w:t>Хочеться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відзначи</w:t>
                  </w:r>
                  <w:r w:rsidR="0063197A" w:rsidRPr="0063197A">
                    <w:t>ти</w:t>
                  </w:r>
                  <w:proofErr w:type="spellEnd"/>
                  <w:r w:rsidR="0063197A" w:rsidRPr="0063197A">
                    <w:t xml:space="preserve">, </w:t>
                  </w:r>
                  <w:proofErr w:type="spellStart"/>
                  <w:r w:rsidR="0063197A" w:rsidRPr="0063197A">
                    <w:t>що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поставленим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завданням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представники</w:t>
                  </w:r>
                  <w:proofErr w:type="spellEnd"/>
                  <w:r w:rsidR="0063197A" w:rsidRPr="0063197A">
                    <w:t xml:space="preserve"> кафедр </w:t>
                  </w:r>
                  <w:proofErr w:type="spellStart"/>
                  <w:r w:rsidR="0063197A" w:rsidRPr="0063197A">
                    <w:t>впоралися</w:t>
                  </w:r>
                  <w:proofErr w:type="spellEnd"/>
                  <w:r w:rsidR="0063197A" w:rsidRPr="0063197A">
                    <w:t xml:space="preserve"> </w:t>
                  </w:r>
                  <w:proofErr w:type="gramStart"/>
                  <w:r w:rsidR="0063197A" w:rsidRPr="0063197A">
                    <w:t>на</w:t>
                  </w:r>
                  <w:proofErr w:type="gram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відмінно</w:t>
                  </w:r>
                  <w:proofErr w:type="spellEnd"/>
                  <w:r w:rsidR="0063197A" w:rsidRPr="0063197A">
                    <w:t xml:space="preserve">! </w:t>
                  </w:r>
                  <w:proofErr w:type="spellStart"/>
                  <w:r w:rsidR="0063197A" w:rsidRPr="0063197A">
                    <w:t>Абітурієнтам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прийшлися</w:t>
                  </w:r>
                  <w:proofErr w:type="spellEnd"/>
                  <w:r w:rsidR="0063197A" w:rsidRPr="0063197A">
                    <w:t xml:space="preserve"> до смаку </w:t>
                  </w:r>
                  <w:proofErr w:type="spellStart"/>
                  <w:r w:rsidR="0063197A" w:rsidRPr="0063197A">
                    <w:t>життєві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історії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Рудичик</w:t>
                  </w:r>
                  <w:proofErr w:type="spellEnd"/>
                  <w:r w:rsidR="0063197A" w:rsidRPr="0063197A">
                    <w:t xml:space="preserve"> Олени </w:t>
                  </w:r>
                  <w:proofErr w:type="spellStart"/>
                  <w:r w:rsidR="0063197A" w:rsidRPr="0063197A">
                    <w:t>Михайлівни</w:t>
                  </w:r>
                  <w:proofErr w:type="spellEnd"/>
                  <w:r w:rsidR="0063197A" w:rsidRPr="0063197A">
                    <w:t xml:space="preserve">, </w:t>
                  </w:r>
                  <w:proofErr w:type="spellStart"/>
                  <w:r w:rsidR="0063197A" w:rsidRPr="0063197A">
                    <w:t>випускниці</w:t>
                  </w:r>
                  <w:proofErr w:type="spellEnd"/>
                  <w:r w:rsidR="0063197A" w:rsidRPr="0063197A">
                    <w:t xml:space="preserve"> факультету в </w:t>
                  </w:r>
                  <w:proofErr w:type="spellStart"/>
                  <w:r w:rsidR="0063197A" w:rsidRPr="0063197A">
                    <w:t>минулому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викладача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сьогодні</w:t>
                  </w:r>
                  <w:proofErr w:type="spellEnd"/>
                  <w:r w:rsidR="0063197A" w:rsidRPr="0063197A">
                    <w:t xml:space="preserve">. </w:t>
                  </w:r>
                  <w:proofErr w:type="spellStart"/>
                  <w:r w:rsidR="0063197A" w:rsidRPr="0063197A">
                    <w:t>Інформативний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вис</w:t>
                  </w:r>
                  <w:r>
                    <w:t>туп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студентки-магістрантки</w:t>
                  </w:r>
                  <w:proofErr w:type="spellEnd"/>
                  <w:r>
                    <w:t xml:space="preserve"> 506н</w:t>
                  </w:r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групи</w:t>
                  </w:r>
                  <w:proofErr w:type="spellEnd"/>
                  <w:r w:rsidR="0063197A" w:rsidRPr="0063197A">
                    <w:t xml:space="preserve"> Ковальчук </w:t>
                  </w:r>
                  <w:proofErr w:type="spellStart"/>
                  <w:r w:rsidR="0063197A" w:rsidRPr="0063197A">
                    <w:t>Наталії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змусив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змінити</w:t>
                  </w:r>
                  <w:proofErr w:type="spellEnd"/>
                  <w:r w:rsidR="0063197A" w:rsidRPr="0063197A">
                    <w:t xml:space="preserve"> погляди на </w:t>
                  </w:r>
                  <w:proofErr w:type="spellStart"/>
                  <w:r w:rsidR="0063197A" w:rsidRPr="0063197A">
                    <w:t>німецьку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мову</w:t>
                  </w:r>
                  <w:proofErr w:type="spellEnd"/>
                  <w:r w:rsidR="0063197A" w:rsidRPr="0063197A">
                    <w:t xml:space="preserve">, а </w:t>
                  </w:r>
                  <w:proofErr w:type="spellStart"/>
                  <w:r w:rsidR="0063197A" w:rsidRPr="0063197A">
                    <w:t>виступ</w:t>
                  </w:r>
                  <w:proofErr w:type="spellEnd"/>
                  <w:r w:rsidR="0063197A" w:rsidRPr="0063197A">
                    <w:t xml:space="preserve"> студентки </w:t>
                  </w:r>
                  <w:proofErr w:type="spellStart"/>
                  <w:r w:rsidR="0063197A" w:rsidRPr="0063197A">
                    <w:t>Цеми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Анни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лише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proofErr w:type="gramStart"/>
                  <w:r w:rsidR="0063197A" w:rsidRPr="0063197A">
                    <w:t>п</w:t>
                  </w:r>
                  <w:proofErr w:type="gramEnd"/>
                  <w:r w:rsidR="0063197A" w:rsidRPr="0063197A">
                    <w:t>ідсилив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враження</w:t>
                  </w:r>
                  <w:proofErr w:type="spellEnd"/>
                  <w:r w:rsidR="0063197A" w:rsidRPr="0063197A">
                    <w:t xml:space="preserve">. Але в </w:t>
                  </w:r>
                  <w:proofErr w:type="spellStart"/>
                  <w:r w:rsidR="0063197A" w:rsidRPr="0063197A">
                    <w:t>жіночому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королівстві</w:t>
                  </w:r>
                  <w:proofErr w:type="spellEnd"/>
                  <w:r w:rsidR="0063197A" w:rsidRPr="0063197A">
                    <w:t xml:space="preserve"> не </w:t>
                  </w:r>
                  <w:proofErr w:type="spellStart"/>
                  <w:r w:rsidR="0063197A" w:rsidRPr="0063197A">
                    <w:t>обійшлося</w:t>
                  </w:r>
                  <w:proofErr w:type="spellEnd"/>
                  <w:r w:rsidR="0063197A" w:rsidRPr="0063197A">
                    <w:t xml:space="preserve"> без </w:t>
                  </w:r>
                  <w:proofErr w:type="spellStart"/>
                  <w:r w:rsidR="0063197A" w:rsidRPr="0063197A">
                    <w:t>виступу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справжнього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чоловіка</w:t>
                  </w:r>
                  <w:proofErr w:type="spellEnd"/>
                  <w:r w:rsidR="0063197A" w:rsidRPr="0063197A">
                    <w:t xml:space="preserve"> – </w:t>
                  </w:r>
                  <w:proofErr w:type="spellStart"/>
                  <w:r w:rsidR="0063197A" w:rsidRPr="0063197A">
                    <w:t>представника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спеціальності</w:t>
                  </w:r>
                  <w:proofErr w:type="spellEnd"/>
                  <w:r w:rsidR="0063197A" w:rsidRPr="0063197A">
                    <w:t xml:space="preserve"> «Переклад» </w:t>
                  </w:r>
                  <w:proofErr w:type="spellStart"/>
                  <w:r w:rsidR="0063197A" w:rsidRPr="0063197A">
                    <w:t>Самборського</w:t>
                  </w:r>
                  <w:proofErr w:type="spellEnd"/>
                  <w:r w:rsidR="0063197A" w:rsidRPr="0063197A">
                    <w:t xml:space="preserve"> Влада, </w:t>
                  </w:r>
                  <w:proofErr w:type="spellStart"/>
                  <w:r w:rsidR="0063197A" w:rsidRPr="0063197A">
                    <w:t>який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proofErr w:type="gramStart"/>
                  <w:r w:rsidR="0063197A" w:rsidRPr="0063197A">
                    <w:t>п</w:t>
                  </w:r>
                  <w:proofErr w:type="gramEnd"/>
                  <w:r w:rsidR="0063197A" w:rsidRPr="0063197A">
                    <w:t>ідкорив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доступністю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лаконічністю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подачі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матеріалу</w:t>
                  </w:r>
                  <w:proofErr w:type="spellEnd"/>
                  <w:r w:rsidR="0063197A" w:rsidRPr="0063197A">
                    <w:t xml:space="preserve">. Не </w:t>
                  </w:r>
                  <w:proofErr w:type="spellStart"/>
                  <w:r w:rsidR="0063197A" w:rsidRPr="0063197A">
                    <w:t>будемо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забувати</w:t>
                  </w:r>
                  <w:proofErr w:type="spellEnd"/>
                  <w:r w:rsidR="0063197A" w:rsidRPr="0063197A">
                    <w:t xml:space="preserve">, </w:t>
                  </w:r>
                  <w:proofErr w:type="spellStart"/>
                  <w:r w:rsidR="0063197A" w:rsidRPr="0063197A">
                    <w:t>що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окрім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навчання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існує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інша</w:t>
                  </w:r>
                  <w:proofErr w:type="spellEnd"/>
                  <w:r w:rsidR="0063197A" w:rsidRPr="0063197A">
                    <w:t xml:space="preserve"> сторона, про яку </w:t>
                  </w:r>
                  <w:proofErr w:type="spellStart"/>
                  <w:r w:rsidR="0063197A" w:rsidRPr="0063197A">
                    <w:t>докладно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розповіла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Груздєва</w:t>
                  </w:r>
                  <w:proofErr w:type="spellEnd"/>
                  <w:r w:rsidR="0063197A" w:rsidRPr="0063197A">
                    <w:t xml:space="preserve"> Катерина – </w:t>
                  </w:r>
                  <w:r>
                    <w:t xml:space="preserve">голова </w:t>
                  </w:r>
                  <w:proofErr w:type="spellStart"/>
                  <w:r>
                    <w:t>студентсько</w:t>
                  </w:r>
                  <w:proofErr w:type="spellEnd"/>
                  <w:r>
                    <w:rPr>
                      <w:lang w:val="uk-UA"/>
                    </w:rPr>
                    <w:t>ї</w:t>
                  </w:r>
                  <w:r>
                    <w:t xml:space="preserve"> ради</w:t>
                  </w:r>
                  <w:r w:rsidR="0063197A" w:rsidRPr="0063197A">
                    <w:t xml:space="preserve"> факультету </w:t>
                  </w:r>
                  <w:proofErr w:type="spellStart"/>
                  <w:r w:rsidR="0063197A" w:rsidRPr="0063197A">
                    <w:t>іноземної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філології</w:t>
                  </w:r>
                  <w:proofErr w:type="spellEnd"/>
                  <w:r w:rsidR="0063197A" w:rsidRPr="0063197A">
                    <w:t>. </w:t>
                  </w:r>
                  <w:proofErr w:type="spellStart"/>
                  <w:r w:rsidR="0063197A" w:rsidRPr="0063197A">
                    <w:t>Завершенням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зустрічі</w:t>
                  </w:r>
                  <w:proofErr w:type="spellEnd"/>
                  <w:r w:rsidR="0063197A" w:rsidRPr="0063197A">
                    <w:t xml:space="preserve"> стала </w:t>
                  </w:r>
                  <w:proofErr w:type="spellStart"/>
                  <w:r w:rsidR="0063197A" w:rsidRPr="0063197A">
                    <w:t>подорож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proofErr w:type="gramStart"/>
                  <w:r w:rsidR="0063197A" w:rsidRPr="0063197A">
                    <w:t>р</w:t>
                  </w:r>
                  <w:proofErr w:type="gramEnd"/>
                  <w:r w:rsidR="0063197A" w:rsidRPr="0063197A">
                    <w:t>ідним</w:t>
                  </w:r>
                  <w:proofErr w:type="spellEnd"/>
                  <w:r w:rsidR="0063197A" w:rsidRPr="0063197A">
                    <w:t xml:space="preserve"> факультетом яку </w:t>
                  </w:r>
                  <w:proofErr w:type="spellStart"/>
                  <w:r>
                    <w:t>люб’язно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організували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викладачі</w:t>
                  </w:r>
                  <w:proofErr w:type="spellEnd"/>
                  <w:r w:rsidR="0063197A" w:rsidRPr="0063197A">
                    <w:t xml:space="preserve">: Мороз </w:t>
                  </w:r>
                  <w:proofErr w:type="spellStart"/>
                  <w:r w:rsidR="0063197A" w:rsidRPr="0063197A">
                    <w:t>Тетяна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Олександрівна</w:t>
                  </w:r>
                  <w:proofErr w:type="spellEnd"/>
                  <w:r w:rsidR="0063197A" w:rsidRPr="0063197A">
                    <w:t xml:space="preserve">, </w:t>
                  </w:r>
                  <w:proofErr w:type="spellStart"/>
                  <w:r w:rsidR="0063197A" w:rsidRPr="0063197A">
                    <w:t>Корнєва</w:t>
                  </w:r>
                  <w:proofErr w:type="spellEnd"/>
                  <w:r w:rsidR="0063197A" w:rsidRPr="0063197A">
                    <w:t xml:space="preserve"> Наталя </w:t>
                  </w:r>
                  <w:proofErr w:type="spellStart"/>
                  <w:r w:rsidR="0063197A" w:rsidRPr="0063197A">
                    <w:t>Анатоліївна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</w:t>
                  </w:r>
                  <w:proofErr w:type="spellEnd"/>
                  <w:r w:rsidR="0063197A" w:rsidRPr="0063197A">
                    <w:t xml:space="preserve"> Шевченко </w:t>
                  </w:r>
                  <w:proofErr w:type="spellStart"/>
                  <w:r w:rsidR="0063197A" w:rsidRPr="0063197A">
                    <w:t>Ірина</w:t>
                  </w:r>
                  <w:proofErr w:type="spellEnd"/>
                  <w:proofErr w:type="gramStart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В</w:t>
                  </w:r>
                  <w:proofErr w:type="gramEnd"/>
                  <w:r w:rsidR="0063197A" w:rsidRPr="0063197A">
                    <w:t>ікторівна</w:t>
                  </w:r>
                  <w:proofErr w:type="spellEnd"/>
                  <w:r w:rsidR="0063197A" w:rsidRPr="0063197A">
                    <w:t>. </w:t>
                  </w:r>
                  <w:proofErr w:type="spellStart"/>
                  <w:r w:rsidR="0063197A" w:rsidRPr="0063197A">
                    <w:t>Саме</w:t>
                  </w:r>
                  <w:proofErr w:type="spellEnd"/>
                  <w:r w:rsidR="0063197A" w:rsidRPr="0063197A">
                    <w:t xml:space="preserve"> вона дала </w:t>
                  </w:r>
                  <w:proofErr w:type="spellStart"/>
                  <w:r w:rsidR="0063197A" w:rsidRPr="0063197A">
                    <w:t>змогу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абітурієнтам</w:t>
                  </w:r>
                  <w:proofErr w:type="spellEnd"/>
                  <w:r w:rsidR="0063197A" w:rsidRPr="0063197A">
                    <w:t xml:space="preserve"> не просто </w:t>
                  </w:r>
                  <w:proofErr w:type="spellStart"/>
                  <w:r w:rsidR="0063197A" w:rsidRPr="0063197A">
                    <w:t>почути</w:t>
                  </w:r>
                  <w:proofErr w:type="spellEnd"/>
                  <w:r w:rsidR="0063197A" w:rsidRPr="0063197A">
                    <w:t xml:space="preserve">, а </w:t>
                  </w:r>
                  <w:proofErr w:type="spellStart"/>
                  <w:r w:rsidR="0063197A" w:rsidRPr="0063197A">
                    <w:t>ще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побачити</w:t>
                  </w:r>
                  <w:proofErr w:type="spellEnd"/>
                  <w:r w:rsidR="0063197A" w:rsidRPr="0063197A">
                    <w:t xml:space="preserve"> на </w:t>
                  </w:r>
                  <w:proofErr w:type="spellStart"/>
                  <w:r w:rsidR="0063197A" w:rsidRPr="0063197A">
                    <w:t>власні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очі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місце</w:t>
                  </w:r>
                  <w:proofErr w:type="spellEnd"/>
                  <w:r w:rsidR="0063197A" w:rsidRPr="0063197A">
                    <w:t xml:space="preserve">, в </w:t>
                  </w:r>
                  <w:proofErr w:type="spellStart"/>
                  <w:r w:rsidR="0063197A" w:rsidRPr="0063197A">
                    <w:t>якому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проходять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трудові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будні</w:t>
                  </w:r>
                  <w:proofErr w:type="spellEnd"/>
                  <w:r w:rsidR="0063197A" w:rsidRPr="0063197A">
                    <w:t xml:space="preserve"> наших </w:t>
                  </w:r>
                  <w:proofErr w:type="spellStart"/>
                  <w:r w:rsidR="0063197A" w:rsidRPr="0063197A">
                    <w:t>студентів</w:t>
                  </w:r>
                  <w:proofErr w:type="spellEnd"/>
                  <w:r w:rsidR="0063197A" w:rsidRPr="0063197A">
                    <w:t xml:space="preserve">. </w:t>
                  </w:r>
                  <w:proofErr w:type="spellStart"/>
                  <w:r w:rsidR="0063197A" w:rsidRPr="0063197A">
                    <w:t>Поринути</w:t>
                  </w:r>
                  <w:proofErr w:type="spellEnd"/>
                  <w:r w:rsidR="0063197A" w:rsidRPr="0063197A">
                    <w:t xml:space="preserve"> в </w:t>
                  </w:r>
                  <w:proofErr w:type="spellStart"/>
                  <w:r w:rsidR="0063197A" w:rsidRPr="0063197A">
                    <w:t>казкову</w:t>
                  </w:r>
                  <w:proofErr w:type="spellEnd"/>
                  <w:r w:rsidR="0063197A" w:rsidRPr="0063197A">
                    <w:t xml:space="preserve"> атмосферу </w:t>
                  </w:r>
                  <w:proofErr w:type="spellStart"/>
                  <w:r w:rsidR="0063197A" w:rsidRPr="0063197A">
                    <w:t>знайомства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з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мовою</w:t>
                  </w:r>
                  <w:proofErr w:type="spellEnd"/>
                  <w:r w:rsidR="0063197A" w:rsidRPr="0063197A">
                    <w:t xml:space="preserve">, </w:t>
                  </w:r>
                  <w:proofErr w:type="spellStart"/>
                  <w:r w:rsidR="0063197A" w:rsidRPr="0063197A">
                    <w:t>традиціями</w:t>
                  </w:r>
                  <w:proofErr w:type="spellEnd"/>
                  <w:r w:rsidR="0063197A" w:rsidRPr="0063197A">
                    <w:t xml:space="preserve">, культурою </w:t>
                  </w:r>
                  <w:proofErr w:type="spellStart"/>
                  <w:r w:rsidR="0063197A" w:rsidRPr="0063197A">
                    <w:t>інших</w:t>
                  </w:r>
                  <w:proofErr w:type="spellEnd"/>
                  <w:r w:rsidR="0063197A" w:rsidRPr="0063197A">
                    <w:t xml:space="preserve"> </w:t>
                  </w:r>
                  <w:proofErr w:type="spellStart"/>
                  <w:r w:rsidR="0063197A" w:rsidRPr="0063197A">
                    <w:t>народі</w:t>
                  </w:r>
                  <w:proofErr w:type="gramStart"/>
                  <w:r w:rsidR="0063197A" w:rsidRPr="0063197A">
                    <w:t>в</w:t>
                  </w:r>
                  <w:proofErr w:type="spellEnd"/>
                  <w:proofErr w:type="gramEnd"/>
                  <w:r w:rsidR="0063197A" w:rsidRPr="0063197A">
                    <w:t>.</w:t>
                  </w:r>
                </w:p>
                <w:p w:rsidR="00BA3177" w:rsidRPr="007F17B5" w:rsidRDefault="00BA3177" w:rsidP="007F17B5">
                  <w:pPr>
                    <w:spacing w:after="120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CF0DF1">
        <w:rPr>
          <w:noProof/>
          <w:lang w:eastAsia="ru-RU"/>
        </w:rPr>
        <w:pict>
          <v:shape id="_x0000_s1051" type="#_x0000_t202" style="position:absolute;margin-left:-19.7pt;margin-top:6.5pt;width:423.35pt;height:201.1pt;z-index:251674624;mso-position-horizontal-relative:text;mso-position-vertical-relative:text" filled="f" stroked="f">
            <v:textbox>
              <w:txbxContent>
                <w:p w:rsidR="0063197A" w:rsidRDefault="0063197A" w:rsidP="0063197A">
                  <w:pPr>
                    <w:pStyle w:val="a6"/>
                    <w:spacing w:after="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</w:pPr>
                  <w:r w:rsidRPr="0063197A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Прохолодного суботнього ранку відкрила свої теплі обійми наша альма-матер, радо вітаючи сьогоднішніх абітурієнтів, а в майбутньому, сподіваємося, студентів університету ім. </w:t>
                  </w:r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В.О.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Сухомлинського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Кожен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факультет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отримав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гарну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можливість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поборотися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увагу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школярів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їх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батьків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Звісно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ж, факультет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іноземної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філології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не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міг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пропустити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таку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нагоду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також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прийняв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участь у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завоюванні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симпатій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абітурієнтів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. 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Студенти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факультету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об’єдналися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</w:t>
                  </w:r>
                  <w:proofErr w:type="gram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ід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керівництвом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викладачів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щоб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створити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простий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всім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зрозумілий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захід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який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був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спрямований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знайомство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школярів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навчальною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структурою факультету,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можливостями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подальшого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саморозвитку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звісно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із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життям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студентів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у </w:t>
                  </w:r>
                  <w:proofErr w:type="spellStart"/>
                  <w:proofErr w:type="gram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ст</w:t>
                  </w:r>
                  <w:proofErr w:type="gram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інах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навчального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закладу. Як то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кажуть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краще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один раз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побачити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аніж</w:t>
                  </w:r>
                  <w:proofErr w:type="spellEnd"/>
                  <w:proofErr w:type="gram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десять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разів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почути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!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Саме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тому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презентувати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факультет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іноземної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філології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довірили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студентам.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Адже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хто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як не </w:t>
                  </w:r>
                  <w:proofErr w:type="gram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вони</w:t>
                  </w:r>
                  <w:proofErr w:type="gram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можуть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поділитися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досвідом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розповісти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про все без прикрас?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Кожна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кафедра мала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змогу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ознайомити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абітурієнтів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власною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специфікою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навчання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і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докладно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описати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переваги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роботи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>з</w:t>
                  </w:r>
                  <w:proofErr w:type="spellEnd"/>
                  <w:r w:rsidRPr="0063197A">
                    <w:rPr>
                      <w:rFonts w:asciiTheme="minorHAnsi" w:hAnsiTheme="minorHAnsi"/>
                      <w:sz w:val="22"/>
                      <w:szCs w:val="22"/>
                    </w:rPr>
                    <w:t xml:space="preserve"> нею.</w:t>
                  </w:r>
                </w:p>
                <w:p w:rsidR="0063197A" w:rsidRDefault="0063197A" w:rsidP="0063197A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  <w:r w:rsidR="0063197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5179910</wp:posOffset>
            </wp:positionH>
            <wp:positionV relativeFrom="paragraph">
              <wp:posOffset>85042</wp:posOffset>
            </wp:positionV>
            <wp:extent cx="1792497" cy="2493034"/>
            <wp:effectExtent l="19050" t="0" r="0" b="0"/>
            <wp:wrapNone/>
            <wp:docPr id="2" name="Рисунок 1" descr="C:\Documents and Settings\Admin\Рабочий стол\UniSept17\студгазета сентябрь17\1 - 2018\photo\open doors\XuozJVTqJ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open doors\XuozJVTqJ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81" r="1266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16A"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A1158"/>
    <w:rsid w:val="000A37E8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35B3"/>
    <w:rsid w:val="003D6581"/>
    <w:rsid w:val="003E7D0B"/>
    <w:rsid w:val="003F5BFB"/>
    <w:rsid w:val="003F6F30"/>
    <w:rsid w:val="004029FF"/>
    <w:rsid w:val="0041612D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D5826"/>
    <w:rsid w:val="004E26B5"/>
    <w:rsid w:val="005043AE"/>
    <w:rsid w:val="00505B6A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C0968"/>
    <w:rsid w:val="005C5C91"/>
    <w:rsid w:val="005C79F0"/>
    <w:rsid w:val="005D1F57"/>
    <w:rsid w:val="005E1808"/>
    <w:rsid w:val="005E7ECB"/>
    <w:rsid w:val="006207DB"/>
    <w:rsid w:val="00630558"/>
    <w:rsid w:val="0063197A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2737"/>
    <w:rsid w:val="006B6336"/>
    <w:rsid w:val="006C2EB9"/>
    <w:rsid w:val="006E7126"/>
    <w:rsid w:val="006F308C"/>
    <w:rsid w:val="006F45EA"/>
    <w:rsid w:val="006F6848"/>
    <w:rsid w:val="00702BB3"/>
    <w:rsid w:val="007108FE"/>
    <w:rsid w:val="00720241"/>
    <w:rsid w:val="0072244B"/>
    <w:rsid w:val="007532DD"/>
    <w:rsid w:val="007561AC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83261"/>
    <w:rsid w:val="008A5711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304E9"/>
    <w:rsid w:val="00B42B3B"/>
    <w:rsid w:val="00B446ED"/>
    <w:rsid w:val="00B50611"/>
    <w:rsid w:val="00B516A5"/>
    <w:rsid w:val="00B63A6E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49D5"/>
    <w:rsid w:val="00BC76D6"/>
    <w:rsid w:val="00BD0538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0DF1"/>
    <w:rsid w:val="00CF1665"/>
    <w:rsid w:val="00D0637C"/>
    <w:rsid w:val="00D102C0"/>
    <w:rsid w:val="00D10D77"/>
    <w:rsid w:val="00D204EE"/>
    <w:rsid w:val="00D51089"/>
    <w:rsid w:val="00D974AE"/>
    <w:rsid w:val="00DB410C"/>
    <w:rsid w:val="00DC2664"/>
    <w:rsid w:val="00DC2FB8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5A72"/>
    <w:rsid w:val="00E65197"/>
    <w:rsid w:val="00E73157"/>
    <w:rsid w:val="00EA674A"/>
    <w:rsid w:val="00EB13A7"/>
    <w:rsid w:val="00EB786C"/>
    <w:rsid w:val="00ED5921"/>
    <w:rsid w:val="00EE1991"/>
    <w:rsid w:val="00EE4293"/>
    <w:rsid w:val="00EF3EE5"/>
    <w:rsid w:val="00EF7F91"/>
    <w:rsid w:val="00F023D5"/>
    <w:rsid w:val="00F02891"/>
    <w:rsid w:val="00F1442E"/>
    <w:rsid w:val="00F205E5"/>
    <w:rsid w:val="00F21681"/>
    <w:rsid w:val="00F32C7F"/>
    <w:rsid w:val="00F41120"/>
    <w:rsid w:val="00F75D10"/>
    <w:rsid w:val="00F80E94"/>
    <w:rsid w:val="00F833A2"/>
    <w:rsid w:val="00F83583"/>
    <w:rsid w:val="00F853EE"/>
    <w:rsid w:val="00F93ED5"/>
    <w:rsid w:val="00FB06F7"/>
    <w:rsid w:val="00FB0F11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6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49FD-9E5D-4F4D-9B75-2FDBC204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2016-12-13T20:08:00Z</dcterms:created>
  <dcterms:modified xsi:type="dcterms:W3CDTF">2018-02-11T18:01:00Z</dcterms:modified>
</cp:coreProperties>
</file>