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МИКОЛАЇВСЬКИЙ НАЦІОНАЛЬНИЙ УНІВЕРСИТЕТ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В.О. СУХОМЛИНСЬКОГО</w:t>
      </w:r>
    </w:p>
    <w:p w:rsidR="00B6397D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Pr="00397BA7" w:rsidRDefault="00B6397D" w:rsidP="00B639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B6397D" w:rsidRPr="00397BA7" w:rsidRDefault="00B6397D" w:rsidP="00B639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науково-педагогічної</w:t>
      </w:r>
      <w:proofErr w:type="spellEnd"/>
    </w:p>
    <w:p w:rsidR="00B6397D" w:rsidRPr="00397BA7" w:rsidRDefault="00B6397D" w:rsidP="00B639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Н.І. Василькова</w:t>
      </w:r>
    </w:p>
    <w:p w:rsidR="00B6397D" w:rsidRPr="00397BA7" w:rsidRDefault="00B6397D" w:rsidP="00B639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НАВЧАЛЬНОЇ ДИСЦИПЛІНИ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Pr="00767E84" w:rsidRDefault="00F54A7F" w:rsidP="00F54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ЛІНГВОСТИЛІСТИЧНИЙ АНАЛІЗ </w:t>
      </w:r>
      <w:r w:rsidRPr="00767E84">
        <w:rPr>
          <w:rFonts w:ascii="Times New Roman" w:hAnsi="Times New Roman" w:cs="Times New Roman"/>
          <w:sz w:val="28"/>
          <w:szCs w:val="28"/>
        </w:rPr>
        <w:t>ПУБЛІЦИСТИЧНОГО ТЕКСТУ</w:t>
      </w: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 «бакалавр»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0203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Гуманітарні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6.020303.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Філологія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філології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2018- 2019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Default="00B6397D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7F" w:rsidRPr="00397BA7" w:rsidRDefault="00F54A7F" w:rsidP="00B6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Pr="00397BA7" w:rsidRDefault="00B6397D" w:rsidP="00F54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 - 2018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Робоча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4A7F" w:rsidRPr="00F5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ЛІНГВОСТИЛІСТИЧНИЙ АНАЛІЗ ПУБЛІЦИСТИЧНОГО ТЕКСТУ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 «бакалавр» за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напрямом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6.020303.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Філологія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Філіпп’єва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 _________</w:t>
      </w:r>
      <w:proofErr w:type="gram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spellStart"/>
      <w:proofErr w:type="gram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Філіпп’єва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Т.І.)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</w:p>
    <w:p w:rsidR="00B6397D" w:rsidRPr="00397BA7" w:rsidRDefault="00B6397D" w:rsidP="00B639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B6397D" w:rsidRDefault="00B6397D" w:rsidP="00B639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Мироненко Т.П.</w:t>
      </w:r>
      <w:r w:rsidRPr="00397B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397D" w:rsidRDefault="00B6397D" w:rsidP="00B639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D" w:rsidRPr="001E481D" w:rsidRDefault="00B6397D" w:rsidP="00B6397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</w:rPr>
        <w:t xml:space="preserve">-методичною </w:t>
      </w: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факультету</w:t>
      </w:r>
    </w:p>
    <w:p w:rsidR="00B6397D" w:rsidRPr="001E481D" w:rsidRDefault="00B6397D" w:rsidP="00B639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Протокол № 1 від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B6397D" w:rsidRPr="001E481D" w:rsidRDefault="00B6397D" w:rsidP="00B6397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81D">
        <w:rPr>
          <w:color w:val="000000"/>
          <w:sz w:val="28"/>
          <w:szCs w:val="28"/>
        </w:rPr>
        <w:t xml:space="preserve">Голова </w:t>
      </w:r>
      <w:proofErr w:type="spellStart"/>
      <w:r w:rsidRPr="001E481D">
        <w:rPr>
          <w:color w:val="000000"/>
          <w:sz w:val="28"/>
          <w:szCs w:val="28"/>
        </w:rPr>
        <w:t>навчально-методичної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комісії</w:t>
      </w:r>
      <w:proofErr w:type="spellEnd"/>
      <w:r w:rsidRPr="001E481D">
        <w:rPr>
          <w:color w:val="000000"/>
          <w:sz w:val="28"/>
          <w:szCs w:val="28"/>
        </w:rPr>
        <w:t xml:space="preserve"> ____________ (</w:t>
      </w:r>
      <w:proofErr w:type="spellStart"/>
      <w:r w:rsidRPr="001E481D">
        <w:rPr>
          <w:color w:val="000000"/>
          <w:sz w:val="28"/>
          <w:szCs w:val="28"/>
          <w:lang w:val="uk-UA"/>
        </w:rPr>
        <w:t>Волченко</w:t>
      </w:r>
      <w:proofErr w:type="spellEnd"/>
      <w:r w:rsidRPr="001E481D">
        <w:rPr>
          <w:color w:val="000000"/>
          <w:sz w:val="28"/>
          <w:szCs w:val="28"/>
          <w:lang w:val="uk-UA"/>
        </w:rPr>
        <w:t xml:space="preserve"> О.М.</w:t>
      </w:r>
      <w:r w:rsidRPr="001E481D">
        <w:rPr>
          <w:color w:val="000000"/>
          <w:sz w:val="28"/>
          <w:szCs w:val="28"/>
        </w:rPr>
        <w:t>)</w:t>
      </w:r>
    </w:p>
    <w:p w:rsidR="00B6397D" w:rsidRDefault="00B6397D" w:rsidP="00B6397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6397D" w:rsidRPr="001E481D" w:rsidRDefault="00B6397D" w:rsidP="00B6397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E481D">
        <w:rPr>
          <w:color w:val="000000"/>
          <w:sz w:val="28"/>
          <w:szCs w:val="28"/>
        </w:rPr>
        <w:t>Програму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погоджено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навчально</w:t>
      </w:r>
      <w:proofErr w:type="spellEnd"/>
      <w:r w:rsidRPr="001E481D">
        <w:rPr>
          <w:color w:val="000000"/>
          <w:sz w:val="28"/>
          <w:szCs w:val="28"/>
        </w:rPr>
        <w:t xml:space="preserve">-методичною </w:t>
      </w:r>
      <w:proofErr w:type="spellStart"/>
      <w:r w:rsidRPr="001E481D">
        <w:rPr>
          <w:color w:val="000000"/>
          <w:sz w:val="28"/>
          <w:szCs w:val="28"/>
        </w:rPr>
        <w:t>комісією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університету</w:t>
      </w:r>
      <w:proofErr w:type="spellEnd"/>
    </w:p>
    <w:p w:rsidR="00B6397D" w:rsidRPr="001E481D" w:rsidRDefault="00B6397D" w:rsidP="00B6397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81D">
        <w:rPr>
          <w:color w:val="000000"/>
          <w:sz w:val="28"/>
          <w:szCs w:val="28"/>
        </w:rPr>
        <w:t xml:space="preserve">Протокол </w:t>
      </w:r>
      <w:r w:rsidRPr="001E481D">
        <w:rPr>
          <w:color w:val="000000"/>
          <w:sz w:val="28"/>
          <w:szCs w:val="28"/>
          <w:lang w:val="uk-UA"/>
        </w:rPr>
        <w:t xml:space="preserve">№ 2 </w:t>
      </w:r>
      <w:proofErr w:type="spellStart"/>
      <w:r w:rsidRPr="001E481D">
        <w:rPr>
          <w:color w:val="000000"/>
          <w:sz w:val="28"/>
          <w:szCs w:val="28"/>
        </w:rPr>
        <w:t>від</w:t>
      </w:r>
      <w:proofErr w:type="spellEnd"/>
      <w:r w:rsidRPr="001E481D">
        <w:rPr>
          <w:color w:val="000000"/>
          <w:sz w:val="28"/>
          <w:szCs w:val="28"/>
        </w:rPr>
        <w:t xml:space="preserve"> «</w:t>
      </w:r>
      <w:r w:rsidRPr="001E481D">
        <w:rPr>
          <w:color w:val="000000"/>
          <w:sz w:val="28"/>
          <w:szCs w:val="28"/>
          <w:lang w:val="uk-UA"/>
        </w:rPr>
        <w:t>5</w:t>
      </w:r>
      <w:r w:rsidRPr="001E48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1E481D">
        <w:rPr>
          <w:color w:val="000000"/>
          <w:sz w:val="28"/>
          <w:szCs w:val="28"/>
          <w:lang w:val="uk-UA"/>
        </w:rPr>
        <w:t>вересня</w:t>
      </w:r>
      <w:r w:rsidRPr="001E481D">
        <w:rPr>
          <w:color w:val="000000"/>
          <w:sz w:val="28"/>
          <w:szCs w:val="28"/>
        </w:rPr>
        <w:t xml:space="preserve"> 201</w:t>
      </w:r>
      <w:r w:rsidRPr="001E481D">
        <w:rPr>
          <w:color w:val="000000"/>
          <w:sz w:val="28"/>
          <w:szCs w:val="28"/>
          <w:lang w:val="uk-UA"/>
        </w:rPr>
        <w:t>8</w:t>
      </w:r>
      <w:r w:rsidRPr="001E481D">
        <w:rPr>
          <w:color w:val="000000"/>
          <w:sz w:val="28"/>
          <w:szCs w:val="28"/>
        </w:rPr>
        <w:t xml:space="preserve"> року </w:t>
      </w:r>
    </w:p>
    <w:p w:rsidR="00B6397D" w:rsidRPr="001E481D" w:rsidRDefault="00B6397D" w:rsidP="00B6397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81D">
        <w:rPr>
          <w:color w:val="000000"/>
          <w:sz w:val="28"/>
          <w:szCs w:val="28"/>
        </w:rPr>
        <w:t xml:space="preserve">Голова </w:t>
      </w:r>
      <w:proofErr w:type="spellStart"/>
      <w:r w:rsidRPr="001E481D">
        <w:rPr>
          <w:color w:val="000000"/>
          <w:sz w:val="28"/>
          <w:szCs w:val="28"/>
        </w:rPr>
        <w:t>навчально-методичної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комісії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університе</w:t>
      </w:r>
      <w:r>
        <w:rPr>
          <w:color w:val="000000"/>
          <w:sz w:val="28"/>
          <w:szCs w:val="28"/>
        </w:rPr>
        <w:t>ту</w:t>
      </w:r>
      <w:proofErr w:type="spellEnd"/>
      <w:r>
        <w:rPr>
          <w:color w:val="000000"/>
          <w:sz w:val="28"/>
          <w:szCs w:val="28"/>
        </w:rPr>
        <w:t>______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 xml:space="preserve">Василькова Н. </w:t>
      </w:r>
      <w:r w:rsidRPr="001E481D">
        <w:rPr>
          <w:color w:val="000000"/>
          <w:sz w:val="28"/>
          <w:szCs w:val="28"/>
        </w:rPr>
        <w:t>І.)</w:t>
      </w: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1911" w:rsidRPr="00D11911" w:rsidRDefault="00D11911" w:rsidP="00D1191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</w:t>
      </w:r>
      <w:proofErr w:type="spellEnd"/>
      <w:r w:rsidRPr="00D1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D1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D11911" w:rsidRPr="00D11911" w:rsidRDefault="00D11911" w:rsidP="00D1191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049"/>
        <w:gridCol w:w="3160"/>
      </w:tblGrid>
      <w:tr w:rsidR="00D11911" w:rsidRPr="00F9645D" w:rsidTr="004235E2">
        <w:trPr>
          <w:trHeight w:val="802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освітньо-кваліфікаційний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D11911" w:rsidRPr="00F9645D" w:rsidTr="004235E2">
        <w:trPr>
          <w:trHeight w:val="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денна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D11911" w:rsidRPr="00F9645D" w:rsidTr="00D11911">
        <w:trPr>
          <w:trHeight w:val="40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D11911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</w:p>
          <w:p w:rsidR="00D11911" w:rsidRPr="00D11911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0203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Гуманітарні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</w:p>
          <w:p w:rsidR="00D11911" w:rsidRPr="00D11911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11" w:rsidRPr="00F9645D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0203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Гуманітарні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</w:tr>
      <w:tr w:rsidR="00D11911" w:rsidRPr="00F9645D" w:rsidTr="00D11911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11" w:rsidRPr="00F9645D" w:rsidTr="004235E2">
        <w:trPr>
          <w:trHeight w:val="17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11" w:rsidRPr="00F9645D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6.020303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Філологія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D1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</w:p>
          <w:p w:rsidR="00D11911" w:rsidRPr="00F9645D" w:rsidRDefault="00D11911" w:rsidP="004235E2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D11911" w:rsidRPr="00F9645D" w:rsidTr="004235E2">
        <w:trPr>
          <w:trHeight w:val="20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</w:tc>
      </w:tr>
      <w:tr w:rsidR="00D11911" w:rsidRPr="00F9645D" w:rsidTr="004235E2">
        <w:trPr>
          <w:trHeight w:val="23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Семестр</w:t>
            </w:r>
          </w:p>
        </w:tc>
      </w:tr>
      <w:tr w:rsidR="00D11911" w:rsidRPr="00F9645D" w:rsidTr="004235E2">
        <w:trPr>
          <w:trHeight w:val="323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D119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</w:tc>
      </w:tr>
      <w:tr w:rsidR="00D11911" w:rsidRPr="00F9645D" w:rsidTr="004235E2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D11911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Лекції</w:t>
            </w:r>
            <w:proofErr w:type="spellEnd"/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D11911" w:rsidRPr="00F9645D" w:rsidTr="004235E2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Тижневих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для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11911" w:rsidRPr="00F9645D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аудиторних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D11911" w:rsidRPr="00D11911" w:rsidRDefault="00D11911" w:rsidP="00D119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3,7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F54A7F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Ступінь</w:t>
            </w:r>
            <w:r w:rsidR="00D11911"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11911" w:rsidRPr="00F9645D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бакалавр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911" w:rsidRPr="00F9645D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Практичні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D11911" w:rsidRPr="00116607" w:rsidTr="004235E2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116607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116607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116607" w:rsidRDefault="00D11911" w:rsidP="00D119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робота</w:t>
            </w: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</w:tr>
      <w:tr w:rsidR="00D11911" w:rsidRPr="00116607" w:rsidTr="004235E2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116607" w:rsidRDefault="00D11911" w:rsidP="004235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116607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911" w:rsidRPr="00116607" w:rsidRDefault="00D11911" w:rsidP="00423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Вид контролю: екзамен</w:t>
            </w:r>
          </w:p>
        </w:tc>
      </w:tr>
    </w:tbl>
    <w:p w:rsidR="00D11911" w:rsidRPr="00F9645D" w:rsidRDefault="00D11911" w:rsidP="00D11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Примітка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911" w:rsidRDefault="00D11911" w:rsidP="00D11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аудиторних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до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становить: для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66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годин. (30%/70%)</w:t>
      </w:r>
    </w:p>
    <w:p w:rsidR="00D11911" w:rsidRPr="00F9645D" w:rsidRDefault="00D11911" w:rsidP="00D11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97D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311" w:rsidRPr="00397BA7" w:rsidRDefault="00197311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97D" w:rsidRPr="00397BA7" w:rsidRDefault="00B6397D" w:rsidP="00B6397D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вивчення дисципліни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97D" w:rsidRPr="00397BA7" w:rsidRDefault="00B6397D" w:rsidP="00B639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Програма курсу «</w:t>
      </w:r>
      <w:r w:rsidR="00F54A7F" w:rsidRPr="00F54A7F">
        <w:rPr>
          <w:rFonts w:ascii="Times New Roman" w:hAnsi="Times New Roman" w:cs="Times New Roman"/>
          <w:sz w:val="28"/>
          <w:szCs w:val="28"/>
          <w:lang w:val="uk-UA"/>
        </w:rPr>
        <w:t>ЛІНГВОСТИЛІСТИЧНИЙ АНАЛІЗ ПУБЛІЦИСТИЧНОГО ТЕКСТУ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» призначена для бакалаврів педагогічної освіти. Метою курсу є систематизація та поглиблення знань про публіцистичний стиль як функціональний різновид літературної мови. Особливу увагу при вивченні даного курсу приділяється аналізу жанрової специфіки публіцистичного стилю.</w:t>
      </w:r>
    </w:p>
    <w:p w:rsidR="00B6397D" w:rsidRPr="00397BA7" w:rsidRDefault="00B6397D" w:rsidP="00197311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Завдання курсу:</w:t>
      </w:r>
    </w:p>
    <w:p w:rsidR="00B6397D" w:rsidRPr="00397BA7" w:rsidRDefault="00B6397D" w:rsidP="00F54A7F">
      <w:pPr>
        <w:pStyle w:val="a3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з теоретичними основами курсу «</w:t>
      </w:r>
      <w:r w:rsidR="00F54A7F" w:rsidRPr="00F54A7F">
        <w:rPr>
          <w:rFonts w:ascii="Times New Roman" w:hAnsi="Times New Roman" w:cs="Times New Roman"/>
          <w:sz w:val="28"/>
          <w:szCs w:val="28"/>
          <w:lang w:val="uk-UA"/>
        </w:rPr>
        <w:t>ЛІНГВОСТИЛІСТИЧНИЙ АНАЛІЗ ПУБЛІЦИСТИЧНОГО ТЕКСТУ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6397D" w:rsidRPr="00397BA7" w:rsidRDefault="00B6397D" w:rsidP="00197311">
      <w:pPr>
        <w:pStyle w:val="a3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навички створення публіцистичних текстів різних жанрів з урахуванням об'єктивних і суб'єктивних факторів </w:t>
      </w:r>
      <w:r w:rsidRPr="00397BA7">
        <w:rPr>
          <w:rStyle w:val="shorttext"/>
          <w:rFonts w:ascii="Times New Roman" w:hAnsi="Times New Roman" w:cs="Times New Roman"/>
          <w:sz w:val="28"/>
          <w:szCs w:val="28"/>
          <w:lang w:val="uk-UA"/>
        </w:rPr>
        <w:t>текстотворення;</w:t>
      </w:r>
    </w:p>
    <w:p w:rsidR="00B6397D" w:rsidRPr="00397BA7" w:rsidRDefault="00B6397D" w:rsidP="00197311">
      <w:pPr>
        <w:pStyle w:val="a3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удосконалювати текстову компетентність;</w:t>
      </w:r>
    </w:p>
    <w:p w:rsidR="00B6397D" w:rsidRPr="00397BA7" w:rsidRDefault="00B6397D" w:rsidP="00197311">
      <w:pPr>
        <w:pStyle w:val="a3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сприяти формуванню наукового світогляду студентів.</w:t>
      </w:r>
    </w:p>
    <w:p w:rsidR="00B6397D" w:rsidRPr="00397BA7" w:rsidRDefault="00B6397D" w:rsidP="00197311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Місце навчальної дисципліни в структурі основної освітньої програми.</w:t>
      </w:r>
    </w:p>
    <w:p w:rsidR="00B6397D" w:rsidRPr="00397BA7" w:rsidRDefault="00B6397D" w:rsidP="0019731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="00F54A7F" w:rsidRPr="00F54A7F">
        <w:rPr>
          <w:rFonts w:ascii="Times New Roman" w:hAnsi="Times New Roman" w:cs="Times New Roman"/>
          <w:sz w:val="28"/>
          <w:szCs w:val="28"/>
          <w:lang w:val="uk-UA"/>
        </w:rPr>
        <w:t>ЛІНГВОСТИЛІСТИЧНИЙ АНАЛІЗ ПУБЛІЦИСТИЧНОГО ТЕКСТУ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» відноситься до варіативної  частини гуманітарного циклу підготовки бакалаврів. Вивчення дисципліни базується на знаннях, отримані в процесі освоєння курсу «Стилістика» в рамках підготовки бакалавра філологічної освіти.</w:t>
      </w:r>
    </w:p>
    <w:p w:rsidR="00B6397D" w:rsidRPr="00397BA7" w:rsidRDefault="00B6397D" w:rsidP="00197311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Вимоги до рівня освоєння програми.</w:t>
      </w:r>
    </w:p>
    <w:p w:rsidR="00B6397D" w:rsidRPr="00397BA7" w:rsidRDefault="00B6397D" w:rsidP="00197311">
      <w:pPr>
        <w:pStyle w:val="a3"/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Освоєння дисципліни «</w:t>
      </w:r>
      <w:r w:rsidR="00F54A7F" w:rsidRPr="00F54A7F">
        <w:rPr>
          <w:rFonts w:ascii="Times New Roman" w:hAnsi="Times New Roman" w:cs="Times New Roman"/>
          <w:sz w:val="28"/>
          <w:szCs w:val="28"/>
          <w:lang w:val="uk-UA"/>
        </w:rPr>
        <w:t>ЛІНГВОСТИЛІСТИЧНИЙ АНАЛІЗ ПУБЛІЦИСТИЧНОГО ТЕКСТУ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» сприяє формуванню ряду загальнокультурних, професійних компетенції бакалавра філологічної освіти:</w:t>
      </w:r>
    </w:p>
    <w:p w:rsidR="00B6397D" w:rsidRPr="00397BA7" w:rsidRDefault="00B6397D" w:rsidP="00197311">
      <w:pPr>
        <w:pStyle w:val="a3"/>
        <w:numPr>
          <w:ilvl w:val="2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здатність удосконалювати і розвивати свій загально</w:t>
      </w:r>
      <w:r w:rsidR="00197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інтелектуальний і загальнокультурний рівень;</w:t>
      </w:r>
    </w:p>
    <w:p w:rsidR="00B6397D" w:rsidRPr="00397BA7" w:rsidRDefault="00B6397D" w:rsidP="00197311">
      <w:pPr>
        <w:pStyle w:val="a3"/>
        <w:numPr>
          <w:ilvl w:val="2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готовність використовувати знання сучасних проблем науки і освіти при вирішенні освітніх та професійних завдань;</w:t>
      </w:r>
    </w:p>
    <w:p w:rsidR="00B6397D" w:rsidRPr="00397BA7" w:rsidRDefault="00B6397D" w:rsidP="00197311">
      <w:pPr>
        <w:pStyle w:val="a3"/>
        <w:numPr>
          <w:ilvl w:val="2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здатність формувати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uk-UA"/>
        </w:rPr>
        <w:t>ресурсно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>-інформаційні бази для вирішення професійних завдань;</w:t>
      </w:r>
    </w:p>
    <w:p w:rsidR="00B6397D" w:rsidRPr="00397BA7" w:rsidRDefault="00B6397D" w:rsidP="00197311">
      <w:pPr>
        <w:pStyle w:val="a3"/>
        <w:numPr>
          <w:ilvl w:val="2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здатність вивчати і формувати культурні потреби і підвищувати культурно-освітній рівень різних груп населення;</w:t>
      </w:r>
    </w:p>
    <w:p w:rsidR="00B6397D" w:rsidRPr="00397BA7" w:rsidRDefault="00B6397D" w:rsidP="00197311">
      <w:pPr>
        <w:pStyle w:val="a3"/>
        <w:numPr>
          <w:ilvl w:val="2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здатність розробляти і реалізовувати просвітницькі програми з метою популяризації наукових знань і культурних традицій.</w:t>
      </w:r>
    </w:p>
    <w:p w:rsidR="00B6397D" w:rsidRDefault="00B6397D" w:rsidP="00197311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В результаті освоєння курсу студент-бакалавр повинен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знати: </w:t>
      </w:r>
    </w:p>
    <w:p w:rsidR="00B6397D" w:rsidRPr="00397BA7" w:rsidRDefault="00B6397D" w:rsidP="00197311">
      <w:pPr>
        <w:pStyle w:val="a3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теоретичні основи розвитку публіцистичного стилю;</w:t>
      </w:r>
    </w:p>
    <w:p w:rsidR="00B6397D" w:rsidRPr="00397BA7" w:rsidRDefault="00B6397D" w:rsidP="00197311">
      <w:pPr>
        <w:pStyle w:val="a3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і стилістичні особливості публіцистичного стилю мовлення;</w:t>
      </w:r>
    </w:p>
    <w:p w:rsidR="00B6397D" w:rsidRPr="00397BA7" w:rsidRDefault="00B6397D" w:rsidP="00197311">
      <w:pPr>
        <w:pStyle w:val="a3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сучасні тенденції в системі жанрів, в мові газетної і телевізійної публіцистики;</w:t>
      </w:r>
    </w:p>
    <w:p w:rsidR="00B6397D" w:rsidRPr="00397BA7" w:rsidRDefault="00B6397D" w:rsidP="00197311">
      <w:pPr>
        <w:pStyle w:val="a3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композиції і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різних жанрів публіцистичного стилю.</w:t>
      </w:r>
    </w:p>
    <w:p w:rsidR="00B6397D" w:rsidRPr="00397BA7" w:rsidRDefault="00B6397D" w:rsidP="00B6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вміти:</w:t>
      </w:r>
    </w:p>
    <w:p w:rsidR="00B6397D" w:rsidRPr="00397BA7" w:rsidRDefault="00B6397D" w:rsidP="00197311">
      <w:pPr>
        <w:pStyle w:val="a3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аналізувати тексти публіцистичного стилю;</w:t>
      </w:r>
    </w:p>
    <w:p w:rsidR="00B6397D" w:rsidRPr="00397BA7" w:rsidRDefault="00B6397D" w:rsidP="00197311">
      <w:pPr>
        <w:pStyle w:val="a3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створювати публіцистичні тексти різних жанрів;</w:t>
      </w:r>
    </w:p>
    <w:p w:rsidR="00B6397D" w:rsidRPr="00397BA7" w:rsidRDefault="00B6397D" w:rsidP="00B6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володіти:</w:t>
      </w:r>
    </w:p>
    <w:p w:rsidR="00B6397D" w:rsidRPr="00397BA7" w:rsidRDefault="00B6397D" w:rsidP="00197311">
      <w:pPr>
        <w:pStyle w:val="a3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навичками стилістичного аналізу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одиниць в текстах публіцистичного стилю, а також окремих текстів;</w:t>
      </w:r>
    </w:p>
    <w:p w:rsidR="00B6397D" w:rsidRPr="00397BA7" w:rsidRDefault="00B6397D" w:rsidP="00197311">
      <w:pPr>
        <w:pStyle w:val="a3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>навичками створення текстів різних жанрів публіцистичного стилю.</w:t>
      </w:r>
    </w:p>
    <w:p w:rsidR="00B6397D" w:rsidRPr="00397BA7" w:rsidRDefault="00B6397D" w:rsidP="00B6397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Програма навчальної дисципліни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1.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Публіцистичний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стиль як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різновид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F44DBE" w:rsidRDefault="00B6397D" w:rsidP="00B6397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2.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Журналістський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підстиль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: форма,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3.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Стилістична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4.</w:t>
      </w:r>
      <w:r w:rsidRPr="00F44DBE">
        <w:rPr>
          <w:rFonts w:ascii="Times New Roman" w:hAnsi="Times New Roman" w:cs="Times New Roman"/>
          <w:sz w:val="28"/>
          <w:szCs w:val="28"/>
        </w:rPr>
        <w:tab/>
        <w:t>Стиль та переклад.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5.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Спеціфика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стилю.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6.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Газетний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підстиль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: форма,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Підстіль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: форма,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F44DBE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8.</w:t>
      </w:r>
      <w:r w:rsidRPr="00F44DBE">
        <w:rPr>
          <w:rFonts w:ascii="Times New Roman" w:hAnsi="Times New Roman" w:cs="Times New Roman"/>
          <w:sz w:val="28"/>
          <w:szCs w:val="28"/>
        </w:rPr>
        <w:tab/>
        <w:t xml:space="preserve">Форма,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офіційно-ділових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Default="00B6397D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9.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Ораторська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промова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197311" w:rsidRPr="00F44DBE" w:rsidRDefault="00197311" w:rsidP="00B6397D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397D" w:rsidRPr="00397BA7" w:rsidRDefault="00B6397D" w:rsidP="003263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49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814"/>
        <w:gridCol w:w="552"/>
        <w:gridCol w:w="557"/>
        <w:gridCol w:w="602"/>
        <w:gridCol w:w="570"/>
        <w:gridCol w:w="626"/>
        <w:gridCol w:w="1029"/>
        <w:gridCol w:w="345"/>
        <w:gridCol w:w="354"/>
        <w:gridCol w:w="602"/>
        <w:gridCol w:w="570"/>
        <w:gridCol w:w="468"/>
      </w:tblGrid>
      <w:tr w:rsidR="00B6397D" w:rsidRPr="00397BA7" w:rsidTr="004235E2">
        <w:trPr>
          <w:cantSplit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6397D" w:rsidRPr="00397BA7" w:rsidTr="004235E2">
        <w:trPr>
          <w:cantSplit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B6397D" w:rsidRPr="00397BA7" w:rsidTr="004235E2">
        <w:trPr>
          <w:cantSplit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B6397D" w:rsidRPr="00397BA7" w:rsidTr="004235E2">
        <w:trPr>
          <w:cantSplit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Кредит 1. </w:t>
            </w: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Тема 1.</w:t>
            </w: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стиль як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функціональний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різновид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Тема 2.</w:t>
            </w: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Журналістський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підстиль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311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197311" w:rsidRDefault="00197311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73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895F56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311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197311" w:rsidRDefault="00197311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3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Кредит 2.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Тема 3</w:t>
            </w: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Стилістична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диференціація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лексики.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Тема 4.</w:t>
            </w: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Стиль та переклад.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Тема 5. </w:t>
            </w:r>
          </w:p>
          <w:p w:rsidR="00B6397D" w:rsidRPr="00397BA7" w:rsidRDefault="00B6397D" w:rsidP="00326389">
            <w:pPr>
              <w:spacing w:after="0" w:line="276" w:lineRule="auto"/>
              <w:ind w:left="-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Спеціфика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C6F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6F7C6F" w:rsidRDefault="006F7C6F" w:rsidP="003263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6F7C6F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311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197311" w:rsidRDefault="00197311" w:rsidP="003263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7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 3.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F44DBE" w:rsidRDefault="00B6397D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Тема </w:t>
            </w: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Газетний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підстиль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7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F44DBE" w:rsidRDefault="00B6397D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Тема 7.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Підстіль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мультимедійних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7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C6F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6F7C6F" w:rsidRDefault="006F7C6F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7C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6F7C6F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397BA7" w:rsidRDefault="006F7C6F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311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197311" w:rsidRDefault="00197311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3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Кредит 4.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1" w:rsidRPr="00397BA7" w:rsidRDefault="00197311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F44DBE" w:rsidRDefault="00B6397D" w:rsidP="003263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Тема 8. </w:t>
            </w:r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офіційно-ділових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7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6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397BA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Тема 9. </w:t>
            </w:r>
          </w:p>
          <w:p w:rsidR="00B6397D" w:rsidRPr="00F44DBE" w:rsidRDefault="00B6397D" w:rsidP="00326389">
            <w:pPr>
              <w:spacing w:after="0" w:line="276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Ораторська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промова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як вид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тексту.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7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553692" w:rsidRDefault="00B6397D" w:rsidP="00326389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36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97D" w:rsidRPr="00397BA7" w:rsidTr="004235E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197311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895F56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197311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6397D"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9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326389">
            <w:pPr>
              <w:spacing w:after="0" w:line="276" w:lineRule="auto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397D" w:rsidRPr="00397BA7" w:rsidRDefault="00B6397D" w:rsidP="00326389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97B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Програма навчальної дисципліни</w:t>
      </w:r>
    </w:p>
    <w:p w:rsidR="00B6397D" w:rsidRDefault="00B6397D" w:rsidP="00326389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Кредит </w:t>
      </w:r>
      <w:r w:rsidRPr="00397B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B6397D" w:rsidRPr="00F44DBE" w:rsidRDefault="00B6397D" w:rsidP="00326389">
      <w:pPr>
        <w:pStyle w:val="a3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Публіцистичний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стиль як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різновид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F44DBE" w:rsidRDefault="00B6397D" w:rsidP="0032638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2.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Журналістський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підстиль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: форма,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5774AD" w:rsidRDefault="00B6397D" w:rsidP="00326389">
      <w:pPr>
        <w:pStyle w:val="a3"/>
        <w:spacing w:after="0" w:line="276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4AD">
        <w:rPr>
          <w:rFonts w:ascii="Times New Roman" w:hAnsi="Times New Roman" w:cs="Times New Roman"/>
          <w:b/>
          <w:sz w:val="28"/>
          <w:szCs w:val="28"/>
          <w:lang w:val="uk-UA"/>
        </w:rPr>
        <w:t>Кредит 2.</w:t>
      </w:r>
    </w:p>
    <w:p w:rsidR="00326389" w:rsidRPr="00326389" w:rsidRDefault="00326389" w:rsidP="00326389">
      <w:pPr>
        <w:pStyle w:val="a3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89">
        <w:rPr>
          <w:rFonts w:ascii="Times New Roman" w:hAnsi="Times New Roman" w:cs="Times New Roman"/>
          <w:sz w:val="28"/>
          <w:szCs w:val="28"/>
        </w:rPr>
        <w:t>Стилістична</w:t>
      </w:r>
      <w:proofErr w:type="spellEnd"/>
      <w:r w:rsidRPr="0032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89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32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89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326389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326389" w:rsidRPr="00326389" w:rsidRDefault="00326389" w:rsidP="00326389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DBE">
        <w:rPr>
          <w:rFonts w:ascii="Times New Roman" w:hAnsi="Times New Roman" w:cs="Times New Roman"/>
          <w:sz w:val="28"/>
          <w:szCs w:val="28"/>
        </w:rPr>
        <w:t>Стиль та переклад.</w:t>
      </w:r>
    </w:p>
    <w:p w:rsidR="00326389" w:rsidRPr="00326389" w:rsidRDefault="00326389" w:rsidP="00326389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389">
        <w:rPr>
          <w:rFonts w:ascii="Times New Roman" w:hAnsi="Times New Roman" w:cs="Times New Roman"/>
          <w:sz w:val="28"/>
          <w:szCs w:val="28"/>
          <w:lang w:val="uk-UA"/>
        </w:rPr>
        <w:t>Спеціфика</w:t>
      </w:r>
      <w:proofErr w:type="spellEnd"/>
      <w:r w:rsidRPr="00326389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матеріалів публіцистичного стилю.</w:t>
      </w:r>
    </w:p>
    <w:p w:rsidR="00326389" w:rsidRPr="00326389" w:rsidRDefault="00326389" w:rsidP="00326389">
      <w:pPr>
        <w:pStyle w:val="a3"/>
        <w:tabs>
          <w:tab w:val="left" w:pos="567"/>
        </w:tabs>
        <w:spacing w:after="0" w:line="276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389">
        <w:rPr>
          <w:rFonts w:ascii="Times New Roman" w:hAnsi="Times New Roman" w:cs="Times New Roman"/>
          <w:b/>
          <w:sz w:val="28"/>
          <w:szCs w:val="28"/>
          <w:lang w:val="uk-UA"/>
        </w:rPr>
        <w:t>Кредит 3.</w:t>
      </w:r>
    </w:p>
    <w:p w:rsidR="00B6397D" w:rsidRDefault="00B6397D" w:rsidP="00326389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9">
        <w:rPr>
          <w:rFonts w:ascii="Times New Roman" w:hAnsi="Times New Roman" w:cs="Times New Roman"/>
          <w:sz w:val="28"/>
          <w:szCs w:val="28"/>
          <w:lang w:val="uk-UA"/>
        </w:rPr>
        <w:t xml:space="preserve">Газетний </w:t>
      </w:r>
      <w:proofErr w:type="spellStart"/>
      <w:r w:rsidRPr="00326389">
        <w:rPr>
          <w:rFonts w:ascii="Times New Roman" w:hAnsi="Times New Roman" w:cs="Times New Roman"/>
          <w:sz w:val="28"/>
          <w:szCs w:val="28"/>
          <w:lang w:val="uk-UA"/>
        </w:rPr>
        <w:t>підстиль</w:t>
      </w:r>
      <w:proofErr w:type="spellEnd"/>
      <w:r w:rsidRPr="00326389">
        <w:rPr>
          <w:rFonts w:ascii="Times New Roman" w:hAnsi="Times New Roman" w:cs="Times New Roman"/>
          <w:sz w:val="28"/>
          <w:szCs w:val="28"/>
          <w:lang w:val="uk-UA"/>
        </w:rPr>
        <w:t>: форма, зміст та мова.</w:t>
      </w:r>
    </w:p>
    <w:p w:rsidR="00326389" w:rsidRPr="00326389" w:rsidRDefault="00326389" w:rsidP="00326389">
      <w:pPr>
        <w:pStyle w:val="a3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38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Підстіль</w:t>
      </w:r>
      <w:proofErr w:type="spellEnd"/>
      <w:r w:rsidRPr="0032638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мультимедійних засобів масової інформації: форма, зміст та мова.</w:t>
      </w:r>
    </w:p>
    <w:p w:rsidR="00B6397D" w:rsidRPr="005774AD" w:rsidRDefault="00B6397D" w:rsidP="00326389">
      <w:pPr>
        <w:pStyle w:val="a3"/>
        <w:spacing w:after="0" w:line="276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4AD">
        <w:rPr>
          <w:rFonts w:ascii="Times New Roman" w:hAnsi="Times New Roman" w:cs="Times New Roman"/>
          <w:b/>
          <w:sz w:val="28"/>
          <w:szCs w:val="28"/>
          <w:lang w:val="uk-UA"/>
        </w:rPr>
        <w:t>Кредит</w:t>
      </w:r>
      <w:r w:rsidR="00326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5774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397D" w:rsidRPr="00F44DBE" w:rsidRDefault="00B6397D" w:rsidP="00326389">
      <w:pPr>
        <w:pStyle w:val="a3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4DBE">
        <w:rPr>
          <w:rFonts w:ascii="Times New Roman" w:hAnsi="Times New Roman" w:cs="Times New Roman"/>
          <w:sz w:val="28"/>
          <w:szCs w:val="28"/>
        </w:rPr>
        <w:t>8.</w:t>
      </w:r>
      <w:r w:rsidRPr="00F44DBE">
        <w:rPr>
          <w:rFonts w:ascii="Times New Roman" w:hAnsi="Times New Roman" w:cs="Times New Roman"/>
          <w:sz w:val="28"/>
          <w:szCs w:val="28"/>
        </w:rPr>
        <w:tab/>
        <w:t xml:space="preserve">Форма,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офіційно-ділових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>.</w:t>
      </w:r>
    </w:p>
    <w:p w:rsidR="00B6397D" w:rsidRPr="00397BA7" w:rsidRDefault="00B6397D" w:rsidP="00326389">
      <w:pPr>
        <w:pStyle w:val="a3"/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4DBE">
        <w:rPr>
          <w:rFonts w:ascii="Times New Roman" w:hAnsi="Times New Roman" w:cs="Times New Roman"/>
          <w:sz w:val="28"/>
          <w:szCs w:val="28"/>
        </w:rPr>
        <w:t>9.</w:t>
      </w:r>
      <w:r w:rsidRPr="00F44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Ораторська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промова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F44DBE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F44DBE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B6397D" w:rsidRPr="00397BA7" w:rsidRDefault="00B6397D" w:rsidP="00B6397D">
      <w:pPr>
        <w:spacing w:after="0" w:line="36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t>5. Теми практичних занять</w:t>
      </w:r>
    </w:p>
    <w:tbl>
      <w:tblPr>
        <w:tblW w:w="97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7517"/>
        <w:gridCol w:w="1396"/>
      </w:tblGrid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6397D" w:rsidRPr="00397BA7" w:rsidRDefault="00B6397D" w:rsidP="004235E2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стиль як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функціональний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різновид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Журналістський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підстиль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Стилістична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диференціація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лексики.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Стиль та переклад.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Спеціфика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tabs>
                <w:tab w:val="left" w:pos="450"/>
                <w:tab w:val="center" w:pos="5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4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Газетний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підстиль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5774AD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Підстіль</w:t>
            </w:r>
            <w:proofErr w:type="spellEnd"/>
            <w:r w:rsidRPr="0057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мультимедійних засобів масової інформації: форма, зміст та мова.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326389">
            <w:pPr>
              <w:tabs>
                <w:tab w:val="left" w:pos="435"/>
                <w:tab w:val="center" w:pos="5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4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офіційно-ділових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Ораторська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промова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як вид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тексту.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326389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B6397D" w:rsidRPr="005774AD" w:rsidRDefault="00B6397D" w:rsidP="00B6397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B6397D" w:rsidRPr="005774AD" w:rsidRDefault="00B6397D" w:rsidP="00B6397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7517"/>
        <w:gridCol w:w="1396"/>
      </w:tblGrid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6397D" w:rsidRPr="00397BA7" w:rsidRDefault="00B6397D" w:rsidP="004235E2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стиль як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функціональний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різновид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Журналістський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підстиль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Стилістична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диференціація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лексики.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Стиль та переклад.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Спеціфика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Газетний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підстиль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: 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5774AD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Підстіль</w:t>
            </w:r>
            <w:proofErr w:type="spellEnd"/>
            <w:r w:rsidRPr="0057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мультимедійних засобів масової інформації: форма, зміст та мова.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Форма,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офіційно-ділових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754B7F">
            <w:pPr>
              <w:tabs>
                <w:tab w:val="left" w:pos="435"/>
                <w:tab w:val="center" w:pos="59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10</w:t>
            </w:r>
          </w:p>
        </w:tc>
      </w:tr>
      <w:tr w:rsidR="00B6397D" w:rsidRPr="00397BA7" w:rsidTr="00F54A7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B6397D" w:rsidP="004235E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Ораторська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промова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як вид </w:t>
            </w:r>
            <w:proofErr w:type="spellStart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>публіцистичного</w:t>
            </w:r>
            <w:proofErr w:type="spellEnd"/>
            <w:r w:rsidRPr="00F44DBE">
              <w:rPr>
                <w:rFonts w:ascii="Times New Roman" w:hAnsi="Times New Roman" w:cs="Times New Roman"/>
                <w:sz w:val="28"/>
                <w:szCs w:val="28"/>
              </w:rPr>
              <w:t xml:space="preserve"> тексту.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7D" w:rsidRPr="00397BA7" w:rsidRDefault="00754B7F" w:rsidP="00423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B6397D" w:rsidRDefault="00B6397D" w:rsidP="00B639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397D" w:rsidRPr="00553692" w:rsidRDefault="00B6397D" w:rsidP="00B6397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692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навчання.</w:t>
      </w:r>
    </w:p>
    <w:p w:rsidR="00B6397D" w:rsidRPr="00397BA7" w:rsidRDefault="00B6397D" w:rsidP="00B6397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методом</w:t>
      </w:r>
      <w:r w:rsidRPr="00397B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вважається метод навчання, що активізує самостійну пізнавальну діяльність студентів, служить її поетапній організації, регулюванню, контролю та оцінці.  Навчальний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397B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розділяється на п'ять складових частин: структурно-логічні схеми (виділяють основні блоки знань по темі, що вивчається); навчальну карту (встановлюється ієрархія елементів, що вивчаються); вибіркові тести для контролю (чи самоконтролю); задачі аналітичного чи графічного змісту (для контролю чи самоконтролю на більш високому рівні (на рівні умінь та навичок) та лабораторні роботи дослідницького характеру, що сприяють становленню та закріпленню знань з теорії. П'ять рівнів навчання дозволяють оволодіти знаннями в тій чи іншій області. Дана класифікація методів навчання розроблена на основі  рівнів навчання.</w:t>
      </w:r>
    </w:p>
    <w:p w:rsidR="00B6397D" w:rsidRPr="00397BA7" w:rsidRDefault="00B6397D" w:rsidP="00B6397D">
      <w:pPr>
        <w:pStyle w:val="a5"/>
        <w:spacing w:before="0" w:beforeAutospacing="0" w:after="0" w:afterAutospacing="0" w:line="360" w:lineRule="auto"/>
        <w:ind w:left="150" w:right="150"/>
        <w:jc w:val="both"/>
        <w:rPr>
          <w:color w:val="000000"/>
          <w:sz w:val="28"/>
          <w:szCs w:val="28"/>
          <w:lang w:val="uk-UA"/>
        </w:rPr>
      </w:pPr>
      <w:r w:rsidRPr="00397BA7">
        <w:rPr>
          <w:b/>
          <w:bCs/>
          <w:color w:val="000000"/>
          <w:sz w:val="28"/>
          <w:szCs w:val="28"/>
          <w:lang w:val="uk-UA"/>
        </w:rPr>
        <w:t>Перший рівень</w:t>
      </w:r>
      <w:r w:rsidRPr="00397BA7">
        <w:rPr>
          <w:color w:val="000000"/>
          <w:sz w:val="28"/>
          <w:szCs w:val="28"/>
          <w:lang w:val="uk-UA"/>
        </w:rPr>
        <w:t xml:space="preserve"> – знання-знайомства, які дозволяють студенту розрізняти, впізнавати знайомий йому предмет, явище, певну інформацію. </w:t>
      </w:r>
    </w:p>
    <w:p w:rsidR="00B6397D" w:rsidRPr="00397BA7" w:rsidRDefault="00B6397D" w:rsidP="00B6397D">
      <w:pPr>
        <w:pStyle w:val="a5"/>
        <w:spacing w:before="0" w:beforeAutospacing="0" w:after="0" w:afterAutospacing="0" w:line="360" w:lineRule="auto"/>
        <w:ind w:left="150" w:right="150"/>
        <w:jc w:val="both"/>
        <w:rPr>
          <w:color w:val="000000"/>
          <w:sz w:val="28"/>
          <w:szCs w:val="28"/>
          <w:lang w:val="ru-RU"/>
        </w:rPr>
      </w:pP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Другий</w:t>
      </w:r>
      <w:proofErr w:type="spellEnd"/>
      <w:r w:rsidRPr="00397BA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рівень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397BA7">
        <w:rPr>
          <w:color w:val="000000"/>
          <w:sz w:val="28"/>
          <w:szCs w:val="28"/>
          <w:lang w:val="ru-RU"/>
        </w:rPr>
        <w:t>знання-копії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7BA7">
        <w:rPr>
          <w:color w:val="000000"/>
          <w:sz w:val="28"/>
          <w:szCs w:val="28"/>
          <w:lang w:val="ru-RU"/>
        </w:rPr>
        <w:t>що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дозволяють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переказати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7BA7">
        <w:rPr>
          <w:color w:val="000000"/>
          <w:sz w:val="28"/>
          <w:szCs w:val="28"/>
          <w:lang w:val="ru-RU"/>
        </w:rPr>
        <w:t>репродукувати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засвоєну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. </w:t>
      </w:r>
    </w:p>
    <w:p w:rsidR="00B6397D" w:rsidRPr="00397BA7" w:rsidRDefault="00B6397D" w:rsidP="00B6397D">
      <w:pPr>
        <w:pStyle w:val="a5"/>
        <w:spacing w:before="0" w:beforeAutospacing="0" w:after="0" w:afterAutospacing="0" w:line="360" w:lineRule="auto"/>
        <w:ind w:left="150" w:right="150"/>
        <w:jc w:val="both"/>
        <w:rPr>
          <w:color w:val="000000"/>
          <w:sz w:val="28"/>
          <w:szCs w:val="28"/>
          <w:lang w:val="ru-RU"/>
        </w:rPr>
      </w:pP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Третій</w:t>
      </w:r>
      <w:proofErr w:type="spellEnd"/>
      <w:r w:rsidRPr="00397BA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рівень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397BA7">
        <w:rPr>
          <w:color w:val="000000"/>
          <w:sz w:val="28"/>
          <w:szCs w:val="28"/>
          <w:lang w:val="ru-RU"/>
        </w:rPr>
        <w:t>знання-вміння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7BA7">
        <w:rPr>
          <w:color w:val="000000"/>
          <w:sz w:val="28"/>
          <w:szCs w:val="28"/>
          <w:lang w:val="ru-RU"/>
        </w:rPr>
        <w:t>тобто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застосувати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одержані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знання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97BA7">
        <w:rPr>
          <w:color w:val="000000"/>
          <w:sz w:val="28"/>
          <w:szCs w:val="28"/>
          <w:lang w:val="ru-RU"/>
        </w:rPr>
        <w:t>практичній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. </w:t>
      </w:r>
    </w:p>
    <w:p w:rsidR="00B6397D" w:rsidRPr="00397BA7" w:rsidRDefault="00B6397D" w:rsidP="00B6397D">
      <w:pPr>
        <w:pStyle w:val="a5"/>
        <w:spacing w:before="0" w:beforeAutospacing="0" w:after="0" w:afterAutospacing="0" w:line="360" w:lineRule="auto"/>
        <w:ind w:left="150" w:right="150"/>
        <w:jc w:val="both"/>
        <w:rPr>
          <w:color w:val="000000"/>
          <w:sz w:val="28"/>
          <w:szCs w:val="28"/>
          <w:lang w:val="ru-RU"/>
        </w:rPr>
      </w:pP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Четвертий</w:t>
      </w:r>
      <w:proofErr w:type="spellEnd"/>
      <w:r w:rsidRPr="00397BA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рівень</w:t>
      </w:r>
      <w:proofErr w:type="spellEnd"/>
      <w:r w:rsidRPr="00397BA7">
        <w:rPr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397BA7">
        <w:rPr>
          <w:color w:val="000000"/>
          <w:sz w:val="28"/>
          <w:szCs w:val="28"/>
          <w:lang w:val="ru-RU"/>
        </w:rPr>
        <w:t>знання-навики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свого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роду </w:t>
      </w:r>
      <w:proofErr w:type="spellStart"/>
      <w:r w:rsidRPr="00397BA7">
        <w:rPr>
          <w:color w:val="000000"/>
          <w:sz w:val="28"/>
          <w:szCs w:val="28"/>
          <w:lang w:val="ru-RU"/>
        </w:rPr>
        <w:t>автоматизовані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вміння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. </w:t>
      </w:r>
    </w:p>
    <w:p w:rsidR="00B6397D" w:rsidRDefault="00B6397D" w:rsidP="00B6397D">
      <w:pPr>
        <w:pStyle w:val="a5"/>
        <w:spacing w:before="0" w:beforeAutospacing="0" w:after="0" w:afterAutospacing="0" w:line="360" w:lineRule="auto"/>
        <w:ind w:left="150" w:right="150"/>
        <w:jc w:val="both"/>
        <w:rPr>
          <w:color w:val="000000"/>
          <w:sz w:val="28"/>
          <w:szCs w:val="28"/>
          <w:lang w:val="ru-RU"/>
        </w:rPr>
      </w:pP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П'ятий</w:t>
      </w:r>
      <w:proofErr w:type="spellEnd"/>
      <w:r w:rsidRPr="00397BA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b/>
          <w:bCs/>
          <w:color w:val="000000"/>
          <w:sz w:val="28"/>
          <w:szCs w:val="28"/>
          <w:lang w:val="ru-RU"/>
        </w:rPr>
        <w:t>рівень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397BA7">
        <w:rPr>
          <w:color w:val="000000"/>
          <w:sz w:val="28"/>
          <w:szCs w:val="28"/>
          <w:lang w:val="ru-RU"/>
        </w:rPr>
        <w:t>категорія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творчості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, результатом </w:t>
      </w:r>
      <w:proofErr w:type="spellStart"/>
      <w:r w:rsidRPr="00397BA7">
        <w:rPr>
          <w:color w:val="000000"/>
          <w:sz w:val="28"/>
          <w:szCs w:val="28"/>
          <w:lang w:val="ru-RU"/>
        </w:rPr>
        <w:t>якої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є так </w:t>
      </w:r>
      <w:proofErr w:type="spellStart"/>
      <w:r w:rsidRPr="00397BA7">
        <w:rPr>
          <w:color w:val="000000"/>
          <w:sz w:val="28"/>
          <w:szCs w:val="28"/>
          <w:lang w:val="ru-RU"/>
        </w:rPr>
        <w:t>звані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дії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"без правил" в </w:t>
      </w:r>
      <w:proofErr w:type="spellStart"/>
      <w:r w:rsidRPr="00397BA7">
        <w:rPr>
          <w:color w:val="000000"/>
          <w:sz w:val="28"/>
          <w:szCs w:val="28"/>
          <w:lang w:val="ru-RU"/>
        </w:rPr>
        <w:t>певній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галузі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навчально-пізнавальної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7BA7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397BA7">
        <w:rPr>
          <w:color w:val="000000"/>
          <w:sz w:val="28"/>
          <w:szCs w:val="28"/>
          <w:lang w:val="ru-RU"/>
        </w:rPr>
        <w:t xml:space="preserve">. 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t>8. Методи контролю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1. Метод усного контролю.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Етапи усного опитування: постановка вчителем питань (завдань) з урахуванням специфіки предмета і вимог програми; 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підготовка учнів до відповіді і викладення своїх знань: корекція і самоконтроль викладених знань по ходу відповіді; аналіз і оцінка відповіді. 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твори,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перекази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диктанти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заліки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3.Тестова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97BA7">
        <w:rPr>
          <w:rFonts w:ascii="Times New Roman" w:hAnsi="Times New Roman" w:cs="Times New Roman"/>
          <w:sz w:val="28"/>
          <w:szCs w:val="28"/>
        </w:rPr>
        <w:t xml:space="preserve">тести на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7BA7">
        <w:rPr>
          <w:rFonts w:ascii="Times New Roman" w:hAnsi="Times New Roman" w:cs="Times New Roman"/>
          <w:sz w:val="28"/>
          <w:szCs w:val="28"/>
        </w:rPr>
        <w:t>тес</w:t>
      </w:r>
      <w:r>
        <w:rPr>
          <w:rFonts w:ascii="Times New Roman" w:hAnsi="Times New Roman" w:cs="Times New Roman"/>
          <w:sz w:val="28"/>
          <w:szCs w:val="28"/>
        </w:rPr>
        <w:t xml:space="preserve">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Програмоване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пред'явленні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перфокарт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7D" w:rsidRPr="00397BA7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Іспити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7D" w:rsidRDefault="00B6397D" w:rsidP="00B63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97BA7">
        <w:rPr>
          <w:rFonts w:ascii="Times New Roman" w:hAnsi="Times New Roman" w:cs="Times New Roman"/>
          <w:sz w:val="28"/>
          <w:szCs w:val="28"/>
        </w:rPr>
        <w:t xml:space="preserve">Самоконтроль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</w:t>
      </w:r>
    </w:p>
    <w:p w:rsidR="00B6397D" w:rsidRPr="00397BA7" w:rsidRDefault="00B6397D" w:rsidP="00B6397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A7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397BA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397BA7">
        <w:rPr>
          <w:rFonts w:ascii="Times New Roman" w:hAnsi="Times New Roman" w:cs="Times New Roman"/>
          <w:b/>
          <w:sz w:val="28"/>
          <w:szCs w:val="28"/>
        </w:rPr>
        <w:t>.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397BA7">
        <w:rPr>
          <w:rFonts w:ascii="Times New Roman" w:hAnsi="Times New Roman" w:cs="Times New Roman"/>
          <w:b/>
          <w:sz w:val="28"/>
          <w:szCs w:val="28"/>
        </w:rPr>
        <w:t>.</w:t>
      </w:r>
    </w:p>
    <w:p w:rsidR="00B6397D" w:rsidRPr="00397BA7" w:rsidRDefault="00B6397D" w:rsidP="00B6397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тексту: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для студ. 4 курсу спец. «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)» ф-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іноз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:</w:t>
      </w:r>
    </w:p>
    <w:p w:rsidR="00B6397D" w:rsidRPr="00397BA7" w:rsidRDefault="00B6397D" w:rsidP="00B639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 І. С. Постоленко, Р. В. Сундук. – Умань: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Видавничо-поліграфічний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Візаві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», 2014. – 138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Балаклицький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художньо-публіцистичний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жанр: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"] / </w:t>
      </w:r>
    </w:p>
    <w:p w:rsidR="00B6397D" w:rsidRPr="00397BA7" w:rsidRDefault="00B6397D" w:rsidP="00B639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Балаклицький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- Х.: ХНУ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, 2007. - 74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Д. Х.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Стильові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Харитонович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– К.: Наук. думка, 1978. – С. 109-120.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Єфімов Л.П.,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uk-UA"/>
        </w:rPr>
        <w:t>Ясінецька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О.А. Стилістика англійської мови і дискурсивний аналіз.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: НОВА КНИГА, 2004. - 124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lastRenderedPageBreak/>
        <w:t xml:space="preserve">Кочан І. М.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тексту: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, 2008. – 423с.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К. С. Дискурс як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соціолінгвальне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архітектоніка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варіативність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[На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газетної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публіцистики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] / К. С.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За ред. В.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Різуна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— К., 2002. — 392 с. 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Стилістика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Уклад.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І.О. - Умань: СПД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, 2010. - 100 с.</w:t>
      </w:r>
    </w:p>
    <w:p w:rsidR="00B6397D" w:rsidRPr="00397BA7" w:rsidRDefault="00B6397D" w:rsidP="00B6397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Pr="00397BA7">
        <w:rPr>
          <w:rFonts w:ascii="Times New Roman" w:hAnsi="Times New Roman" w:cs="Times New Roman"/>
          <w:b/>
          <w:sz w:val="28"/>
          <w:szCs w:val="28"/>
        </w:rPr>
        <w:t>опоміжна</w:t>
      </w:r>
      <w:proofErr w:type="spellEnd"/>
      <w:r w:rsidRPr="00397B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uk-UA"/>
        </w:rPr>
        <w:t>Баранник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Д.Х. Актуальні проблеми дослідження мови масової інформації // Мовознавство. _ 1983. - №6. – С.13-17.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Д. Х.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Стильові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Харитонович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– К.: Наук. думка, 1978. – С. 109-120.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Білевич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Дієслівна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багатозначність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1999. - № 1. - С. 46-50.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Василик Л. Є.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Номінативний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метафоричний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публіцистичному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Л. Є. Василик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В. Н.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Сер.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 2007.  №766. -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51.  С. 249 – 252.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ред. І.К.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Білодіда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К., 2003. - 1440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українсько-англійський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словник // упор. Попов Є.Ф., Балла М.І. - К., 2005. - 640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Д.І.,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І.С. Словник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К., 1985. - 360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Демський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М. Т.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фраземіки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М. Т. 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Демський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Х.: Наука, 1991. - с.36 - 43.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Дискурс як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когнітивно-комунікативний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феномен: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Ред. І. С. Шевченко. – Х.: Константа, 2002. – 356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lastRenderedPageBreak/>
        <w:t>Єрченко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П. Г.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П. Г.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Єрченко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- К.: Ранок, 1994. -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4 с. 8 - 12.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Коваль А. П.,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Г. Я., Пинчук А. Ф.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стилю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– К., 1983. – 152 с. 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М. П.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К.: ВЦ "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", 2008. - 368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Левицький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полісемія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квантитативні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- 2003. - № 4 - С. 17-25.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Літературознавчий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словник-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ред. Р. Т.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Гром'як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Ю. І.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К.: ВЦ "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", 1997.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- 752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Нелюба А.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практика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А. Нелюба. - X.: Акта, 1997. - 192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Полюга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Омонімія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багатозначність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слова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- 1986. - № 6 - С. 40-45.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термінологічна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B6397D" w:rsidRPr="00397BA7" w:rsidRDefault="00B6397D" w:rsidP="00B6397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</w:rPr>
        <w:t xml:space="preserve">О. О.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- Полтава: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7BA7">
        <w:rPr>
          <w:rFonts w:ascii="Times New Roman" w:hAnsi="Times New Roman" w:cs="Times New Roman"/>
          <w:sz w:val="28"/>
          <w:szCs w:val="28"/>
        </w:rPr>
        <w:t>-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К, 2006.  716 с.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Barannyk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Styl'ovi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riznovydy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movy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radio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telebachennya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[Stylistic variations of radio and television language],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Naukovo-tekhnichnyy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prohres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mova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[Scientific and technological progress and language].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Dumka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., 1978.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109-120.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Barnhurst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K. G.,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Nerone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J. The Form of News. A History. - N.Y.: Guilford Press, 2001. - 326 p.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A.G., Kara A.A. Polysemy and homonymy as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lexico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-semantic processes in social and political vocabulary in Modern English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науки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у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- 2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, 2007 - </w:t>
      </w:r>
      <w:r w:rsidRPr="00397BA7">
        <w:rPr>
          <w:rFonts w:ascii="Times New Roman" w:hAnsi="Times New Roman" w:cs="Times New Roman"/>
          <w:sz w:val="28"/>
          <w:szCs w:val="28"/>
        </w:rPr>
        <w:t>С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>. 278-282.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A. G.,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Yurik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Y. S. Some aspects of secondary nomination (metonymy) as one of the lexical unit creation methods in the English language</w:t>
      </w: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науки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у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- 2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, 2008 - </w:t>
      </w:r>
      <w:r w:rsidRPr="00397BA7">
        <w:rPr>
          <w:rFonts w:ascii="Times New Roman" w:hAnsi="Times New Roman" w:cs="Times New Roman"/>
          <w:sz w:val="28"/>
          <w:szCs w:val="28"/>
        </w:rPr>
        <w:t>С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>. 376-380.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lastRenderedPageBreak/>
        <w:t>Ryzhykova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S. Yu.,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Vasylenko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N. V. Semantic changes in new English vocabulary //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науки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у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- 2 </w:t>
      </w:r>
      <w:r w:rsidRPr="00397BA7">
        <w:rPr>
          <w:rFonts w:ascii="Times New Roman" w:hAnsi="Times New Roman" w:cs="Times New Roman"/>
          <w:sz w:val="28"/>
          <w:szCs w:val="28"/>
        </w:rPr>
        <w:t>Т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, 2007 - </w:t>
      </w:r>
      <w:r w:rsidRPr="00397BA7">
        <w:rPr>
          <w:rFonts w:ascii="Times New Roman" w:hAnsi="Times New Roman" w:cs="Times New Roman"/>
          <w:sz w:val="28"/>
          <w:szCs w:val="28"/>
        </w:rPr>
        <w:t>С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>. 402-405.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BA7">
        <w:rPr>
          <w:rFonts w:ascii="Times New Roman" w:hAnsi="Times New Roman" w:cs="Times New Roman"/>
          <w:sz w:val="28"/>
          <w:szCs w:val="28"/>
          <w:lang w:val="en-US"/>
        </w:rPr>
        <w:t>Webster's New Twentieth Century Dictionary of the English Language. Unabridged.  New-York, 1993.  2500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Zhukovska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V.V. English stylistics: fundamentals of theory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practice / V.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Zhukovska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7BA7">
        <w:rPr>
          <w:rFonts w:ascii="Times New Roman" w:hAnsi="Times New Roman" w:cs="Times New Roman"/>
          <w:sz w:val="28"/>
          <w:szCs w:val="28"/>
        </w:rPr>
        <w:t>для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397BA7">
        <w:rPr>
          <w:rFonts w:ascii="Times New Roman" w:hAnsi="Times New Roman" w:cs="Times New Roman"/>
          <w:sz w:val="28"/>
          <w:szCs w:val="28"/>
        </w:rPr>
        <w:t>Житомир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97BA7">
        <w:rPr>
          <w:rFonts w:ascii="Times New Roman" w:hAnsi="Times New Roman" w:cs="Times New Roman"/>
          <w:sz w:val="28"/>
          <w:szCs w:val="28"/>
        </w:rPr>
        <w:t>ЖДУ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7BA7">
        <w:rPr>
          <w:rFonts w:ascii="Times New Roman" w:hAnsi="Times New Roman" w:cs="Times New Roman"/>
          <w:sz w:val="28"/>
          <w:szCs w:val="28"/>
        </w:rPr>
        <w:t>І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7BA7">
        <w:rPr>
          <w:rFonts w:ascii="Times New Roman" w:hAnsi="Times New Roman" w:cs="Times New Roman"/>
          <w:sz w:val="28"/>
          <w:szCs w:val="28"/>
        </w:rPr>
        <w:t>Франка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, 2010. - 239 </w:t>
      </w:r>
      <w:r w:rsidRPr="00397BA7">
        <w:rPr>
          <w:rFonts w:ascii="Times New Roman" w:hAnsi="Times New Roman" w:cs="Times New Roman"/>
          <w:sz w:val="28"/>
          <w:szCs w:val="28"/>
        </w:rPr>
        <w:t>с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397D" w:rsidRPr="00397BA7" w:rsidRDefault="00B6397D" w:rsidP="00B63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</w:t>
      </w:r>
      <w:proofErr w:type="spellEnd"/>
      <w:r w:rsidRPr="00397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ресурси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 xml:space="preserve">Чугунов А. К.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>] / А. К. Чугунов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ресурс]. Режим доступу до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http://dilomova.org.ua/?p=52</w:t>
        </w:r>
      </w:hyperlink>
      <w:r w:rsidRPr="00397BA7">
        <w:rPr>
          <w:rFonts w:ascii="Times New Roman" w:hAnsi="Times New Roman" w:cs="Times New Roman"/>
          <w:sz w:val="28"/>
          <w:szCs w:val="28"/>
        </w:rPr>
        <w:t>.</w:t>
      </w:r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Britannica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" w:history="1"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http://www.britannica.com/EBchecked/topic/377872/metaphor</w:t>
        </w:r>
      </w:hyperlink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A7">
        <w:rPr>
          <w:rFonts w:ascii="Times New Roman" w:hAnsi="Times New Roman" w:cs="Times New Roman"/>
          <w:sz w:val="28"/>
          <w:szCs w:val="28"/>
          <w:lang w:val="en-US"/>
        </w:rPr>
        <w:t>London Evening Standard, 2008 –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ресурс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397BA7">
        <w:rPr>
          <w:rFonts w:ascii="Times New Roman" w:hAnsi="Times New Roman" w:cs="Times New Roman"/>
          <w:sz w:val="28"/>
          <w:szCs w:val="28"/>
        </w:rPr>
        <w:t xml:space="preserve">Режим доступу до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standard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showbiz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whosthe</w:t>
        </w:r>
        <w:proofErr w:type="spellEnd"/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dummy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with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pammi</w:t>
        </w:r>
        <w:proofErr w:type="spellEnd"/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now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-6928789.</w:t>
        </w:r>
        <w:r w:rsidRPr="00397B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A7">
        <w:rPr>
          <w:rFonts w:ascii="Times New Roman" w:hAnsi="Times New Roman" w:cs="Times New Roman"/>
          <w:sz w:val="28"/>
          <w:szCs w:val="28"/>
        </w:rPr>
        <w:t>Stylistic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97BA7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9" w:history="1">
        <w:r w:rsidRPr="00397BA7">
          <w:rPr>
            <w:rStyle w:val="a4"/>
            <w:rFonts w:ascii="Times New Roman" w:hAnsi="Times New Roman" w:cs="Times New Roman"/>
            <w:sz w:val="28"/>
            <w:szCs w:val="28"/>
          </w:rPr>
          <w:t>http://urtt.ru/phphtml/met_mat/sutkin/glossary.pdf</w:t>
        </w:r>
      </w:hyperlink>
    </w:p>
    <w:p w:rsidR="00B6397D" w:rsidRPr="00397BA7" w:rsidRDefault="00B6397D" w:rsidP="00B63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Webster’s New Twentieth Century Dictionary of the English </w:t>
      </w:r>
      <w:proofErr w:type="spellStart"/>
      <w:r w:rsidRPr="00397BA7">
        <w:rPr>
          <w:rFonts w:ascii="Times New Roman" w:hAnsi="Times New Roman" w:cs="Times New Roman"/>
          <w:sz w:val="28"/>
          <w:szCs w:val="28"/>
          <w:lang w:val="en-US"/>
        </w:rPr>
        <w:t>Language.Unabridged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397BA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ресурс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397BA7">
        <w:rPr>
          <w:rFonts w:ascii="Times New Roman" w:hAnsi="Times New Roman" w:cs="Times New Roman"/>
          <w:sz w:val="28"/>
          <w:szCs w:val="28"/>
        </w:rPr>
        <w:t>Режим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BA7">
        <w:rPr>
          <w:rFonts w:ascii="Times New Roman" w:hAnsi="Times New Roman" w:cs="Times New Roman"/>
          <w:sz w:val="28"/>
          <w:szCs w:val="28"/>
        </w:rPr>
        <w:t>доступу</w:t>
      </w:r>
      <w:r w:rsidRPr="00397BA7">
        <w:rPr>
          <w:rFonts w:ascii="Times New Roman" w:hAnsi="Times New Roman" w:cs="Times New Roman"/>
          <w:sz w:val="28"/>
          <w:szCs w:val="28"/>
          <w:lang w:val="en-US"/>
        </w:rPr>
        <w:t xml:space="preserve">: http://www.merriam-webster.com/ </w:t>
      </w:r>
    </w:p>
    <w:p w:rsidR="00B6397D" w:rsidRPr="00397BA7" w:rsidRDefault="00B6397D" w:rsidP="00B6397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4B0" w:rsidRPr="00B6397D" w:rsidRDefault="003464B0">
      <w:pPr>
        <w:rPr>
          <w:lang w:val="en-US"/>
        </w:rPr>
      </w:pPr>
    </w:p>
    <w:sectPr w:rsidR="003464B0" w:rsidRPr="00B6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6A"/>
    <w:multiLevelType w:val="hybridMultilevel"/>
    <w:tmpl w:val="EED0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8AC"/>
    <w:multiLevelType w:val="hybridMultilevel"/>
    <w:tmpl w:val="99A4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794"/>
    <w:multiLevelType w:val="hybridMultilevel"/>
    <w:tmpl w:val="18D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62DA2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60867C18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AF"/>
    <w:multiLevelType w:val="hybridMultilevel"/>
    <w:tmpl w:val="FA20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4FB3"/>
    <w:multiLevelType w:val="hybridMultilevel"/>
    <w:tmpl w:val="80280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2F69C2"/>
    <w:multiLevelType w:val="hybridMultilevel"/>
    <w:tmpl w:val="F002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6EE"/>
    <w:multiLevelType w:val="hybridMultilevel"/>
    <w:tmpl w:val="464A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60867C18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3B97"/>
    <w:multiLevelType w:val="hybridMultilevel"/>
    <w:tmpl w:val="840A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5C5"/>
    <w:multiLevelType w:val="hybridMultilevel"/>
    <w:tmpl w:val="0816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7706"/>
    <w:multiLevelType w:val="hybridMultilevel"/>
    <w:tmpl w:val="E116A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732D"/>
    <w:multiLevelType w:val="hybridMultilevel"/>
    <w:tmpl w:val="999E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1E3F"/>
    <w:multiLevelType w:val="hybridMultilevel"/>
    <w:tmpl w:val="3612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653C4"/>
    <w:multiLevelType w:val="hybridMultilevel"/>
    <w:tmpl w:val="9BE64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5268F4"/>
    <w:multiLevelType w:val="hybridMultilevel"/>
    <w:tmpl w:val="1C1A95B8"/>
    <w:lvl w:ilvl="0" w:tplc="F746E4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34D86"/>
    <w:multiLevelType w:val="hybridMultilevel"/>
    <w:tmpl w:val="79CAAB38"/>
    <w:lvl w:ilvl="0" w:tplc="9F4CC0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E4F7937"/>
    <w:multiLevelType w:val="hybridMultilevel"/>
    <w:tmpl w:val="B0DC91DC"/>
    <w:lvl w:ilvl="0" w:tplc="427CF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39"/>
    <w:rsid w:val="0011125B"/>
    <w:rsid w:val="00197311"/>
    <w:rsid w:val="00326389"/>
    <w:rsid w:val="003464B0"/>
    <w:rsid w:val="00676D39"/>
    <w:rsid w:val="006F7C6F"/>
    <w:rsid w:val="00754B7F"/>
    <w:rsid w:val="00895F56"/>
    <w:rsid w:val="00B6397D"/>
    <w:rsid w:val="00D11911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7B98"/>
  <w15:chartTrackingRefBased/>
  <w15:docId w15:val="{7567AE8F-8D82-4029-97DC-5AE9E07A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97D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rsid w:val="00B6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B6397D"/>
  </w:style>
  <w:style w:type="paragraph" w:customStyle="1" w:styleId="p4">
    <w:name w:val="p4"/>
    <w:basedOn w:val="a"/>
    <w:rsid w:val="00B6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.co.uk/showbiz/so-whosthe-dummy-with-pammi-now-69287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annica.com/EBchecked/topic/377872/metaph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lomova.org.ua/?p=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tt.ru/phphtml/met_mat/sutkin/glossa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E484-9BD2-486F-848B-273F46E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Факультет Іноземної філології</cp:lastModifiedBy>
  <cp:revision>6</cp:revision>
  <cp:lastPrinted>2018-09-10T11:15:00Z</cp:lastPrinted>
  <dcterms:created xsi:type="dcterms:W3CDTF">2018-09-10T11:08:00Z</dcterms:created>
  <dcterms:modified xsi:type="dcterms:W3CDTF">2018-11-29T08:06:00Z</dcterms:modified>
</cp:coreProperties>
</file>